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jc w:val="both"/>
        <w:rPr>
          <w:rFonts w:hint="eastAsia" w:ascii="黑体" w:hAnsi="宋体" w:eastAsia="黑体"/>
          <w:b/>
          <w:sz w:val="28"/>
          <w:szCs w:val="28"/>
          <w:lang w:val="en-US" w:eastAsia="zh-CN"/>
        </w:rPr>
      </w:pPr>
      <w:r>
        <w:rPr>
          <w:rFonts w:hint="eastAsia" w:ascii="黑体" w:hAnsi="宋体" w:eastAsia="黑体"/>
          <w:b w:val="0"/>
          <w:bCs/>
          <w:sz w:val="28"/>
          <w:szCs w:val="28"/>
          <w:lang w:eastAsia="zh-CN"/>
        </w:rPr>
        <w:t>附件</w:t>
      </w:r>
      <w:r>
        <w:rPr>
          <w:rFonts w:hint="eastAsia" w:ascii="黑体" w:hAnsi="宋体" w:eastAsia="黑体"/>
          <w:b w:val="0"/>
          <w:bCs/>
          <w:sz w:val="28"/>
          <w:szCs w:val="28"/>
          <w:lang w:val="en-US" w:eastAsia="zh-CN"/>
        </w:rPr>
        <w:t>2</w:t>
      </w:r>
      <w:r>
        <w:rPr>
          <w:rFonts w:hint="eastAsia" w:ascii="黑体" w:hAnsi="宋体" w:eastAsia="黑体"/>
          <w:b/>
          <w:sz w:val="28"/>
          <w:szCs w:val="28"/>
          <w:lang w:val="en-US" w:eastAsia="zh-CN"/>
        </w:rPr>
        <w:t>：</w:t>
      </w:r>
    </w:p>
    <w:p>
      <w:pPr>
        <w:spacing w:line="440" w:lineRule="exact"/>
        <w:jc w:val="both"/>
        <w:rPr>
          <w:rFonts w:hint="eastAsia" w:ascii="黑体" w:hAnsi="宋体" w:eastAsia="黑体"/>
          <w:b w:val="0"/>
          <w:bCs/>
          <w:sz w:val="28"/>
          <w:szCs w:val="28"/>
          <w:lang w:eastAsia="zh-CN"/>
        </w:rPr>
      </w:pPr>
      <w:r>
        <w:rPr>
          <w:rFonts w:hint="eastAsia" w:ascii="黑体" w:hAnsi="宋体" w:eastAsia="黑体"/>
          <w:b w:val="0"/>
          <w:bCs/>
          <w:sz w:val="28"/>
          <w:szCs w:val="28"/>
        </w:rPr>
        <w:t>海南师范大学201</w:t>
      </w:r>
      <w:r>
        <w:rPr>
          <w:rFonts w:hint="eastAsia" w:ascii="黑体" w:hAnsi="宋体" w:eastAsia="黑体"/>
          <w:b w:val="0"/>
          <w:bCs/>
          <w:sz w:val="28"/>
          <w:szCs w:val="28"/>
          <w:lang w:val="en-US" w:eastAsia="zh-CN"/>
        </w:rPr>
        <w:t>9</w:t>
      </w:r>
      <w:r>
        <w:rPr>
          <w:rFonts w:hint="eastAsia" w:ascii="黑体" w:hAnsi="宋体" w:eastAsia="黑体"/>
          <w:b w:val="0"/>
          <w:bCs/>
          <w:sz w:val="28"/>
          <w:szCs w:val="28"/>
        </w:rPr>
        <w:t>年大学生创业训练、创业实践项目</w:t>
      </w:r>
      <w:r>
        <w:rPr>
          <w:rFonts w:hint="eastAsia" w:ascii="黑体" w:hAnsi="宋体" w:eastAsia="黑体"/>
          <w:b w:val="0"/>
          <w:bCs/>
          <w:sz w:val="28"/>
          <w:szCs w:val="28"/>
          <w:lang w:eastAsia="zh-CN"/>
        </w:rPr>
        <w:t>立项评审评分标准</w:t>
      </w:r>
    </w:p>
    <w:tbl>
      <w:tblPr>
        <w:tblStyle w:val="2"/>
        <w:tblW w:w="9232" w:type="dxa"/>
        <w:jc w:val="center"/>
        <w:tblInd w:w="-564" w:type="dxa"/>
        <w:tblBorders>
          <w:top w:val="none" w:color="auto" w:sz="0" w:space="0"/>
          <w:left w:val="none" w:color="auto" w:sz="0" w:space="0"/>
          <w:bottom w:val="none" w:color="auto" w:sz="0" w:space="0"/>
          <w:right w:val="none" w:color="auto" w:sz="0" w:space="0"/>
          <w:insideH w:val="none" w:color="auto" w:sz="4" w:space="0"/>
          <w:insideV w:val="none" w:color="auto" w:sz="4" w:space="0"/>
        </w:tblBorders>
        <w:shd w:val="clear" w:color="auto" w:fill="auto"/>
        <w:tblLayout w:type="fixed"/>
        <w:tblCellMar>
          <w:top w:w="0" w:type="dxa"/>
          <w:left w:w="0" w:type="dxa"/>
          <w:bottom w:w="0" w:type="dxa"/>
          <w:right w:w="0" w:type="dxa"/>
        </w:tblCellMar>
      </w:tblPr>
      <w:tblGrid>
        <w:gridCol w:w="1676"/>
        <w:gridCol w:w="5323"/>
        <w:gridCol w:w="2233"/>
      </w:tblGrid>
      <w:tr>
        <w:tblPrEx>
          <w:tblBorders>
            <w:top w:val="none" w:color="auto" w:sz="0" w:space="0"/>
            <w:left w:val="none" w:color="auto" w:sz="0" w:space="0"/>
            <w:bottom w:val="none" w:color="auto" w:sz="0" w:space="0"/>
            <w:right w:val="none" w:color="auto" w:sz="0" w:space="0"/>
            <w:insideH w:val="none" w:color="auto" w:sz="4" w:space="0"/>
            <w:insideV w:val="none" w:color="auto" w:sz="4" w:space="0"/>
          </w:tblBorders>
          <w:shd w:val="clear" w:color="auto" w:fill="auto"/>
          <w:tblLayout w:type="fixed"/>
          <w:tblCellMar>
            <w:top w:w="0" w:type="dxa"/>
            <w:left w:w="0" w:type="dxa"/>
            <w:bottom w:w="0" w:type="dxa"/>
            <w:right w:w="0" w:type="dxa"/>
          </w:tblCellMar>
        </w:tblPrEx>
        <w:trPr>
          <w:trHeight w:val="270" w:hRule="atLeast"/>
          <w:jc w:val="center"/>
        </w:trPr>
        <w:tc>
          <w:tcPr>
            <w:tcW w:w="16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评审要点</w:t>
            </w:r>
          </w:p>
        </w:tc>
        <w:tc>
          <w:tcPr>
            <w:tcW w:w="53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评审内容</w:t>
            </w:r>
          </w:p>
        </w:tc>
        <w:tc>
          <w:tcPr>
            <w:tcW w:w="22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分值</w:t>
            </w:r>
          </w:p>
        </w:tc>
      </w:tr>
      <w:tr>
        <w:tblPrEx>
          <w:tblBorders>
            <w:top w:val="none" w:color="auto" w:sz="0" w:space="0"/>
            <w:left w:val="none" w:color="auto" w:sz="0" w:space="0"/>
            <w:bottom w:val="none" w:color="auto" w:sz="0" w:space="0"/>
            <w:right w:val="none" w:color="auto" w:sz="0" w:space="0"/>
            <w:insideH w:val="none" w:color="auto" w:sz="4" w:space="0"/>
            <w:insideV w:val="none" w:color="auto" w:sz="4" w:space="0"/>
          </w:tblBorders>
          <w:shd w:val="clear" w:color="auto" w:fill="auto"/>
          <w:tblLayout w:type="fixed"/>
          <w:tblCellMar>
            <w:top w:w="0" w:type="dxa"/>
            <w:left w:w="0" w:type="dxa"/>
            <w:bottom w:w="0" w:type="dxa"/>
            <w:right w:w="0" w:type="dxa"/>
          </w:tblCellMar>
        </w:tblPrEx>
        <w:trPr>
          <w:trHeight w:val="1650" w:hRule="atLeast"/>
          <w:jc w:val="center"/>
        </w:trPr>
        <w:tc>
          <w:tcPr>
            <w:tcW w:w="16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商业性</w:t>
            </w:r>
          </w:p>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（40分）</w:t>
            </w:r>
          </w:p>
        </w:tc>
        <w:tc>
          <w:tcPr>
            <w:tcW w:w="53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left"/>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1、项目有可操作性和可执行性；</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2、了解行业现状，市场定位准确，有一定的商业价值和社会应用价值，做好市场分析；</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3、项目的商业目的明确、合理，营销渠道通畅，促销方式有效，有吸引力；</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4、自身优劣势能够认识清楚，分析全面透彻；</w:t>
            </w:r>
          </w:p>
        </w:tc>
        <w:tc>
          <w:tcPr>
            <w:tcW w:w="22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sz w:val="28"/>
                <w:szCs w:val="28"/>
                <w:u w:val="none"/>
              </w:rPr>
            </w:pPr>
            <w:r>
              <w:rPr>
                <w:rFonts w:hint="eastAsia" w:ascii="仿宋" w:hAnsi="仿宋" w:eastAsia="仿宋" w:cs="仿宋"/>
                <w:i w:val="0"/>
                <w:color w:val="000000"/>
                <w:kern w:val="0"/>
                <w:sz w:val="28"/>
                <w:szCs w:val="28"/>
                <w:u w:val="none"/>
                <w:lang w:val="en-US" w:eastAsia="zh-CN" w:bidi="ar"/>
              </w:rPr>
              <w:t>好（40分-31分）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较好（30分-21分）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差（20分-1分）</w:t>
            </w:r>
          </w:p>
        </w:tc>
      </w:tr>
      <w:tr>
        <w:tblPrEx>
          <w:tblBorders>
            <w:top w:val="none" w:color="auto" w:sz="0" w:space="0"/>
            <w:left w:val="none" w:color="auto" w:sz="0" w:space="0"/>
            <w:bottom w:val="none" w:color="auto" w:sz="0" w:space="0"/>
            <w:right w:val="none" w:color="auto" w:sz="0" w:space="0"/>
            <w:insideH w:val="none" w:color="auto" w:sz="4" w:space="0"/>
            <w:insideV w:val="none" w:color="auto" w:sz="4" w:space="0"/>
          </w:tblBorders>
          <w:shd w:val="clear" w:color="auto" w:fill="auto"/>
          <w:tblLayout w:type="fixed"/>
          <w:tblCellMar>
            <w:top w:w="0" w:type="dxa"/>
            <w:left w:w="0" w:type="dxa"/>
            <w:bottom w:w="0" w:type="dxa"/>
            <w:right w:w="0" w:type="dxa"/>
          </w:tblCellMar>
        </w:tblPrEx>
        <w:trPr>
          <w:trHeight w:val="1835" w:hRule="atLeast"/>
          <w:jc w:val="center"/>
        </w:trPr>
        <w:tc>
          <w:tcPr>
            <w:tcW w:w="16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团队情况</w:t>
            </w:r>
          </w:p>
          <w:p>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（25分）</w:t>
            </w:r>
          </w:p>
        </w:tc>
        <w:tc>
          <w:tcPr>
            <w:tcW w:w="53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420" w:lineRule="exact"/>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注重管理团队各成员创新创业理念、价值观念、擅长领域，成员的分工和业务互补情况；</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line="420" w:lineRule="exact"/>
              <w:ind w:left="0" w:leftChars="0" w:firstLine="0" w:firstLine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项目的组织构架、人员配置安排是否科学；项目的主要投资人和持股情况是否明确，股权结构是否清晰合理；</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3、项目的可持续发展规划是否合理，中远期引入资本或战略合作企业的可能性。团队是否具有实现这种突破的具体方案和可能的资源基础。</w:t>
            </w:r>
          </w:p>
        </w:tc>
        <w:tc>
          <w:tcPr>
            <w:tcW w:w="22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20" w:lineRule="exact"/>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好（25分-16分）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较好（15分-11分）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差（10分-1分）</w:t>
            </w:r>
          </w:p>
        </w:tc>
      </w:tr>
      <w:tr>
        <w:tblPrEx>
          <w:tblBorders>
            <w:top w:val="none" w:color="auto" w:sz="0" w:space="0"/>
            <w:left w:val="none" w:color="auto" w:sz="0" w:space="0"/>
            <w:bottom w:val="none" w:color="auto" w:sz="0" w:space="0"/>
            <w:right w:val="none" w:color="auto" w:sz="0" w:space="0"/>
            <w:insideH w:val="none" w:color="auto" w:sz="4" w:space="0"/>
            <w:insideV w:val="none" w:color="auto" w:sz="4" w:space="0"/>
          </w:tblBorders>
          <w:shd w:val="clear" w:color="auto" w:fill="auto"/>
          <w:tblLayout w:type="fixed"/>
          <w:tblCellMar>
            <w:top w:w="0" w:type="dxa"/>
            <w:left w:w="0" w:type="dxa"/>
            <w:bottom w:w="0" w:type="dxa"/>
            <w:right w:w="0" w:type="dxa"/>
          </w:tblCellMar>
        </w:tblPrEx>
        <w:trPr>
          <w:trHeight w:val="2315" w:hRule="atLeast"/>
          <w:jc w:val="center"/>
        </w:trPr>
        <w:tc>
          <w:tcPr>
            <w:tcW w:w="16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创新性</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（15分）</w:t>
            </w:r>
          </w:p>
        </w:tc>
        <w:tc>
          <w:tcPr>
            <w:tcW w:w="53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1、突出原始创意的价值，不鼓励模仿。</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2、强调利用新技术、方法和思维在销售、研发、生产、物流、信息、人力、管理等方面寻求突破和创新。</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3、鼓励项目与科技成果转移转化、学科和学业优势、区域优势相结合。</w:t>
            </w:r>
          </w:p>
        </w:tc>
        <w:tc>
          <w:tcPr>
            <w:tcW w:w="22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好（15分-11分）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较好（10分-6分）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差（5分-1分）</w:t>
            </w:r>
          </w:p>
        </w:tc>
      </w:tr>
      <w:tr>
        <w:tblPrEx>
          <w:tblBorders>
            <w:top w:val="none" w:color="auto" w:sz="0" w:space="0"/>
            <w:left w:val="none" w:color="auto" w:sz="0" w:space="0"/>
            <w:bottom w:val="none" w:color="auto" w:sz="0" w:space="0"/>
            <w:right w:val="none" w:color="auto" w:sz="0" w:space="0"/>
            <w:insideH w:val="none" w:color="auto" w:sz="4" w:space="0"/>
            <w:insideV w:val="none" w:color="auto" w:sz="4" w:space="0"/>
          </w:tblBorders>
          <w:tblLayout w:type="fixed"/>
          <w:tblCellMar>
            <w:top w:w="0" w:type="dxa"/>
            <w:left w:w="0" w:type="dxa"/>
            <w:bottom w:w="0" w:type="dxa"/>
            <w:right w:w="0" w:type="dxa"/>
          </w:tblCellMar>
        </w:tblPrEx>
        <w:trPr>
          <w:trHeight w:val="2165" w:hRule="atLeast"/>
          <w:jc w:val="center"/>
        </w:trPr>
        <w:tc>
          <w:tcPr>
            <w:tcW w:w="1676"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提升愿景</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center"/>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（20分）</w:t>
            </w:r>
          </w:p>
        </w:tc>
        <w:tc>
          <w:tcPr>
            <w:tcW w:w="532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1、明确项目结项时的预期达成目标；</w:t>
            </w:r>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2、预判项目发展可能给团队成员带来的创新创业能力提升描述；</w:t>
            </w:r>
            <w:bookmarkStart w:id="0" w:name="_GoBack"/>
            <w:bookmarkEnd w:id="0"/>
          </w:p>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3、预判项目发展如何能促进团队成员个人创业素质和带动社会就业创业的描述。</w:t>
            </w:r>
          </w:p>
        </w:tc>
        <w:tc>
          <w:tcPr>
            <w:tcW w:w="2233"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pageBreakBefore w:val="0"/>
              <w:widowControl/>
              <w:numPr>
                <w:numId w:val="0"/>
              </w:numPr>
              <w:suppressLineNumbers w:val="0"/>
              <w:kinsoku/>
              <w:wordWrap/>
              <w:overflowPunct/>
              <w:topLinePunct w:val="0"/>
              <w:autoSpaceDE/>
              <w:autoSpaceDN/>
              <w:bidi w:val="0"/>
              <w:adjustRightInd/>
              <w:snapToGrid/>
              <w:spacing w:line="420" w:lineRule="exact"/>
              <w:ind w:leftChars="0"/>
              <w:jc w:val="left"/>
              <w:textAlignment w:val="center"/>
              <w:rPr>
                <w:rFonts w:hint="eastAsia" w:ascii="仿宋" w:hAnsi="仿宋" w:eastAsia="仿宋" w:cs="仿宋"/>
                <w:i w:val="0"/>
                <w:color w:val="000000"/>
                <w:kern w:val="0"/>
                <w:sz w:val="28"/>
                <w:szCs w:val="28"/>
                <w:u w:val="none"/>
                <w:lang w:val="en-US" w:eastAsia="zh-CN" w:bidi="ar"/>
              </w:rPr>
            </w:pPr>
            <w:r>
              <w:rPr>
                <w:rFonts w:hint="eastAsia" w:ascii="仿宋" w:hAnsi="仿宋" w:eastAsia="仿宋" w:cs="仿宋"/>
                <w:i w:val="0"/>
                <w:color w:val="000000"/>
                <w:kern w:val="0"/>
                <w:sz w:val="28"/>
                <w:szCs w:val="28"/>
                <w:u w:val="none"/>
                <w:lang w:val="en-US" w:eastAsia="zh-CN" w:bidi="ar"/>
              </w:rPr>
              <w:t>好（20分-16分）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较好（15分-11分）</w:t>
            </w:r>
            <w:r>
              <w:rPr>
                <w:rFonts w:hint="eastAsia" w:ascii="仿宋" w:hAnsi="仿宋" w:eastAsia="仿宋" w:cs="仿宋"/>
                <w:i w:val="0"/>
                <w:color w:val="000000"/>
                <w:kern w:val="0"/>
                <w:sz w:val="28"/>
                <w:szCs w:val="28"/>
                <w:u w:val="none"/>
                <w:lang w:val="en-US" w:eastAsia="zh-CN" w:bidi="ar"/>
              </w:rPr>
              <w:br w:type="textWrapping"/>
            </w:r>
            <w:r>
              <w:rPr>
                <w:rFonts w:hint="eastAsia" w:ascii="仿宋" w:hAnsi="仿宋" w:eastAsia="仿宋" w:cs="仿宋"/>
                <w:i w:val="0"/>
                <w:color w:val="000000"/>
                <w:kern w:val="0"/>
                <w:sz w:val="28"/>
                <w:szCs w:val="28"/>
                <w:u w:val="none"/>
                <w:lang w:val="en-US" w:eastAsia="zh-CN" w:bidi="ar"/>
              </w:rPr>
              <w:t>差（10分-1分）</w:t>
            </w:r>
          </w:p>
        </w:tc>
      </w:tr>
    </w:tbl>
    <w:p/>
    <w:sectPr>
      <w:pgSz w:w="11906" w:h="16838"/>
      <w:pgMar w:top="1440" w:right="1576" w:bottom="1440"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CDB2E4"/>
    <w:multiLevelType w:val="singleLevel"/>
    <w:tmpl w:val="EFCDB2E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F7F"/>
    <w:rsid w:val="00035D80"/>
    <w:rsid w:val="00051F55"/>
    <w:rsid w:val="000C1C19"/>
    <w:rsid w:val="001E0BDA"/>
    <w:rsid w:val="002D0A61"/>
    <w:rsid w:val="002D2264"/>
    <w:rsid w:val="002E0149"/>
    <w:rsid w:val="0034064D"/>
    <w:rsid w:val="00342869"/>
    <w:rsid w:val="00351E4B"/>
    <w:rsid w:val="003E0D83"/>
    <w:rsid w:val="003E567C"/>
    <w:rsid w:val="00420CF4"/>
    <w:rsid w:val="00467173"/>
    <w:rsid w:val="004A7A15"/>
    <w:rsid w:val="004C4A31"/>
    <w:rsid w:val="004F37A7"/>
    <w:rsid w:val="004F70D3"/>
    <w:rsid w:val="00534FD5"/>
    <w:rsid w:val="005633AB"/>
    <w:rsid w:val="005817E7"/>
    <w:rsid w:val="005F6061"/>
    <w:rsid w:val="0060479F"/>
    <w:rsid w:val="00617A67"/>
    <w:rsid w:val="00695B5E"/>
    <w:rsid w:val="006B1233"/>
    <w:rsid w:val="007525CA"/>
    <w:rsid w:val="00803F41"/>
    <w:rsid w:val="00813F7F"/>
    <w:rsid w:val="00873313"/>
    <w:rsid w:val="00935D8E"/>
    <w:rsid w:val="0094252A"/>
    <w:rsid w:val="00975503"/>
    <w:rsid w:val="009E45C2"/>
    <w:rsid w:val="00A427D0"/>
    <w:rsid w:val="00A56551"/>
    <w:rsid w:val="00A912BA"/>
    <w:rsid w:val="00AB1F76"/>
    <w:rsid w:val="00AC06AB"/>
    <w:rsid w:val="00B227A7"/>
    <w:rsid w:val="00B513DF"/>
    <w:rsid w:val="00B83377"/>
    <w:rsid w:val="00B9188B"/>
    <w:rsid w:val="00B94F1E"/>
    <w:rsid w:val="00B97B8C"/>
    <w:rsid w:val="00BA2A1F"/>
    <w:rsid w:val="00BB21E9"/>
    <w:rsid w:val="00BF086C"/>
    <w:rsid w:val="00D44223"/>
    <w:rsid w:val="00D53CE5"/>
    <w:rsid w:val="00D76FA8"/>
    <w:rsid w:val="00E13AEA"/>
    <w:rsid w:val="00E61D2F"/>
    <w:rsid w:val="00ED4EE6"/>
    <w:rsid w:val="00F25CF8"/>
    <w:rsid w:val="00F85B83"/>
    <w:rsid w:val="00FA6176"/>
    <w:rsid w:val="00FD412C"/>
    <w:rsid w:val="08585D08"/>
    <w:rsid w:val="16FF5526"/>
    <w:rsid w:val="18E77D1F"/>
    <w:rsid w:val="24F800E1"/>
    <w:rsid w:val="26385420"/>
    <w:rsid w:val="3B111A62"/>
    <w:rsid w:val="40C92743"/>
    <w:rsid w:val="443F098B"/>
    <w:rsid w:val="4BEB5C95"/>
    <w:rsid w:val="4D2D63B9"/>
    <w:rsid w:val="5129739E"/>
    <w:rsid w:val="5D257C96"/>
    <w:rsid w:val="6A1B6922"/>
    <w:rsid w:val="6D244EC0"/>
    <w:rsid w:val="7B6859D1"/>
    <w:rsid w:val="7B913D2E"/>
    <w:rsid w:val="7F1011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unhideWhenUsed/>
    <w:qFormat/>
    <w:uiPriority w:val="99"/>
    <w:rPr>
      <w:rFonts w:ascii="Times New Roman" w:hAnsi="Times New Roman" w:eastAsia="宋体" w:cs="Times New Roman"/>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235</Words>
  <Characters>251</Characters>
  <Lines>14</Lines>
  <Paragraphs>15</Paragraphs>
  <TotalTime>4</TotalTime>
  <ScaleCrop>false</ScaleCrop>
  <LinksUpToDate>false</LinksUpToDate>
  <CharactersWithSpaces>471</CharactersWithSpaces>
  <Application>WPS Office_11.1.0.8567_F1E327BC-269C-435d-A152-05C5408002CA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2017-05-15T10:55:00Z</dcterms:created>
  <dc:creator>雷小明</dc:creator>
  <cp:lastModifiedBy>Administrator</cp:lastModifiedBy>
  <cp:lastPrinted>2019-03-21T09:03:00Z</cp:lastPrinted>
  <dcterms:modified xsi:type="dcterms:W3CDTF">2019-03-27T09:16:26Z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