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9E714F0">
      <w:pPr>
        <w:jc w:val="center"/>
        <w:rPr>
          <w:rFonts w:hint="eastAsia" w:cs="Times New Roman" w:asciiTheme="minorEastAsia" w:hAnsiTheme="minorEastAsia"/>
          <w:b/>
          <w:bCs/>
          <w:sz w:val="44"/>
          <w:szCs w:val="44"/>
          <w:lang w:val="en-US" w:eastAsia="zh-CN"/>
        </w:rPr>
      </w:pPr>
      <w:r>
        <w:rPr>
          <w:rFonts w:cs="Times New Roman" w:asciiTheme="minorEastAsia" w:hAnsiTheme="minorEastAsia"/>
          <w:b/>
          <w:bCs/>
          <w:sz w:val="44"/>
          <w:szCs w:val="44"/>
        </w:rPr>
        <w:t>关于</w:t>
      </w:r>
      <w:r>
        <w:rPr>
          <w:rFonts w:hint="eastAsia" w:cs="Times New Roman" w:asciiTheme="minorEastAsia" w:hAnsiTheme="minorEastAsia"/>
          <w:b/>
          <w:bCs/>
          <w:sz w:val="44"/>
          <w:szCs w:val="44"/>
        </w:rPr>
        <w:t>数学与统计</w:t>
      </w:r>
      <w:r>
        <w:rPr>
          <w:rFonts w:cs="Times New Roman" w:asciiTheme="minorEastAsia" w:hAnsiTheme="minorEastAsia"/>
          <w:b/>
          <w:bCs/>
          <w:sz w:val="44"/>
          <w:szCs w:val="44"/>
        </w:rPr>
        <w:t>学院</w:t>
      </w:r>
      <w:r>
        <w:rPr>
          <w:rFonts w:hint="eastAsia" w:cs="Times New Roman" w:asciiTheme="minorEastAsia" w:hAnsiTheme="minorEastAsia"/>
          <w:b/>
          <w:bCs/>
          <w:sz w:val="44"/>
          <w:szCs w:val="44"/>
        </w:rPr>
        <w:t>王立敏</w:t>
      </w:r>
      <w:r>
        <w:rPr>
          <w:rFonts w:hint="eastAsia" w:cs="Times New Roman" w:asciiTheme="minorEastAsia" w:hAnsiTheme="minorEastAsia"/>
          <w:b/>
          <w:bCs/>
          <w:sz w:val="44"/>
          <w:szCs w:val="44"/>
          <w:lang w:val="en-US" w:eastAsia="zh-CN"/>
        </w:rPr>
        <w:t>教授</w:t>
      </w:r>
    </w:p>
    <w:p w14:paraId="2A4DC097">
      <w:pPr>
        <w:jc w:val="center"/>
        <w:rPr>
          <w:rFonts w:hint="default" w:cs="Times New Roman" w:asciiTheme="minorEastAsia" w:hAnsiTheme="minorEastAsia"/>
          <w:b/>
          <w:bCs/>
          <w:sz w:val="44"/>
          <w:szCs w:val="44"/>
          <w:lang w:val="en-US"/>
        </w:rPr>
      </w:pPr>
      <w:r>
        <w:rPr>
          <w:rFonts w:hint="eastAsia" w:cs="Times New Roman" w:asciiTheme="minorEastAsia" w:hAnsiTheme="minorEastAsia"/>
          <w:b/>
          <w:bCs/>
          <w:sz w:val="44"/>
          <w:szCs w:val="44"/>
          <w:lang w:val="en-US" w:eastAsia="zh-CN"/>
        </w:rPr>
        <w:t>专利成果转化的公示</w:t>
      </w:r>
    </w:p>
    <w:p w14:paraId="1D9F2656">
      <w:pPr>
        <w:widowControl/>
        <w:adjustRightInd w:val="0"/>
        <w:snapToGrid w:val="0"/>
        <w:spacing w:line="360" w:lineRule="auto"/>
        <w:rPr>
          <w:rFonts w:ascii="Times New Roman" w:hAnsi="Times New Roman" w:eastAsia="楷体" w:cs="Times New Roman"/>
          <w:sz w:val="32"/>
          <w:szCs w:val="32"/>
        </w:rPr>
      </w:pPr>
    </w:p>
    <w:p w14:paraId="7D8E7C51">
      <w:pPr>
        <w:widowControl/>
        <w:adjustRightInd w:val="0"/>
        <w:snapToGrid w:val="0"/>
        <w:spacing w:line="360" w:lineRule="auto"/>
        <w:ind w:firstLine="643" w:firstLineChars="200"/>
        <w:rPr>
          <w:rFonts w:ascii="Times New Roman" w:hAnsi="Times New Roman" w:eastAsia="楷体" w:cs="Times New Roman"/>
          <w:b/>
          <w:bCs/>
          <w:sz w:val="32"/>
          <w:szCs w:val="32"/>
        </w:rPr>
      </w:pPr>
      <w:r>
        <w:rPr>
          <w:rFonts w:hint="eastAsia" w:ascii="Times New Roman" w:hAnsi="Times New Roman" w:eastAsia="楷体" w:cs="Times New Roman"/>
          <w:b/>
          <w:bCs/>
          <w:sz w:val="32"/>
          <w:szCs w:val="32"/>
        </w:rPr>
        <w:t>一、</w:t>
      </w:r>
      <w:r>
        <w:rPr>
          <w:rFonts w:ascii="Times New Roman" w:hAnsi="Times New Roman" w:eastAsia="楷体" w:cs="Times New Roman"/>
          <w:b/>
          <w:bCs/>
          <w:sz w:val="32"/>
          <w:szCs w:val="32"/>
        </w:rPr>
        <w:t>成果名称及简介：</w:t>
      </w:r>
    </w:p>
    <w:p w14:paraId="78E9C4F9">
      <w:pPr>
        <w:widowControl/>
        <w:adjustRightInd w:val="0"/>
        <w:snapToGrid w:val="0"/>
        <w:spacing w:line="360" w:lineRule="auto"/>
        <w:ind w:left="638" w:leftChars="304" w:firstLine="0" w:firstLineChars="0"/>
        <w:rPr>
          <w:rFonts w:ascii="Times New Roman" w:hAnsi="Times New Roman" w:eastAsia="楷体" w:cs="Times New Roman"/>
          <w:sz w:val="32"/>
          <w:szCs w:val="32"/>
        </w:rPr>
      </w:pPr>
      <w:r>
        <w:rPr>
          <w:rFonts w:ascii="Times New Roman" w:hAnsi="Times New Roman" w:eastAsia="楷体" w:cs="Times New Roman"/>
          <w:b/>
          <w:bCs/>
          <w:sz w:val="32"/>
          <w:szCs w:val="32"/>
        </w:rPr>
        <w:t>发明专利</w:t>
      </w:r>
      <w:r>
        <w:rPr>
          <w:rFonts w:hint="eastAsia" w:ascii="Times New Roman" w:hAnsi="Times New Roman" w:eastAsia="楷体" w:cs="Times New Roman"/>
          <w:b/>
          <w:bCs/>
          <w:sz w:val="32"/>
          <w:szCs w:val="32"/>
        </w:rPr>
        <w:t>：</w:t>
      </w:r>
      <w:r>
        <w:rPr>
          <w:rFonts w:hint="eastAsia" w:ascii="Times New Roman" w:hAnsi="Times New Roman" w:eastAsia="楷体" w:cs="Times New Roman"/>
          <w:sz w:val="32"/>
          <w:szCs w:val="32"/>
          <w:lang w:val="en-US" w:eastAsia="zh-CN"/>
        </w:rPr>
        <w:t>1.</w:t>
      </w:r>
      <w:r>
        <w:rPr>
          <w:rFonts w:hint="eastAsia" w:ascii="Times New Roman" w:hAnsi="Times New Roman" w:eastAsia="楷体" w:cs="Times New Roman"/>
          <w:sz w:val="32"/>
          <w:szCs w:val="32"/>
          <w:lang w:eastAsia="zh-CN"/>
        </w:rPr>
        <w:t>间歇过程的受限滚动时域混杂2D跟踪控制方法、</w:t>
      </w:r>
      <w:r>
        <w:rPr>
          <w:rFonts w:hint="eastAsia" w:ascii="Times New Roman" w:hAnsi="Times New Roman" w:eastAsia="楷体" w:cs="Times New Roman"/>
          <w:sz w:val="32"/>
          <w:szCs w:val="32"/>
          <w:lang w:val="en-US" w:eastAsia="zh-CN"/>
        </w:rPr>
        <w:t>2.</w:t>
      </w:r>
      <w:r>
        <w:rPr>
          <w:rFonts w:hint="eastAsia" w:ascii="Times New Roman" w:hAnsi="Times New Roman" w:eastAsia="楷体" w:cs="Times New Roman"/>
          <w:sz w:val="32"/>
          <w:szCs w:val="32"/>
          <w:lang w:eastAsia="zh-CN"/>
        </w:rPr>
        <w:t>非线性批次过程2D最优约束模糊容错控制方法、</w:t>
      </w:r>
      <w:r>
        <w:rPr>
          <w:rFonts w:hint="eastAsia" w:ascii="Times New Roman" w:hAnsi="Times New Roman" w:eastAsia="楷体" w:cs="Times New Roman"/>
          <w:sz w:val="32"/>
          <w:szCs w:val="32"/>
          <w:lang w:val="en-US" w:eastAsia="zh-CN"/>
        </w:rPr>
        <w:t>3.</w:t>
      </w:r>
      <w:r>
        <w:rPr>
          <w:rFonts w:hint="eastAsia" w:ascii="Times New Roman" w:hAnsi="Times New Roman" w:eastAsia="楷体" w:cs="Times New Roman"/>
          <w:sz w:val="32"/>
          <w:szCs w:val="32"/>
          <w:lang w:eastAsia="zh-CN"/>
        </w:rPr>
        <w:t>抗不确定性的2D分段仿射间歇过程最小-最大优化的预测控制方法、</w:t>
      </w:r>
      <w:r>
        <w:rPr>
          <w:rFonts w:hint="eastAsia" w:ascii="Times New Roman" w:hAnsi="Times New Roman" w:eastAsia="楷体" w:cs="Times New Roman"/>
          <w:sz w:val="32"/>
          <w:szCs w:val="32"/>
          <w:lang w:val="en-US" w:eastAsia="zh-CN"/>
        </w:rPr>
        <w:t>4.</w:t>
      </w:r>
      <w:r>
        <w:rPr>
          <w:rFonts w:hint="eastAsia" w:ascii="Times New Roman" w:hAnsi="Times New Roman" w:eastAsia="楷体" w:cs="Times New Roman"/>
          <w:sz w:val="32"/>
          <w:szCs w:val="32"/>
          <w:lang w:eastAsia="zh-CN"/>
        </w:rPr>
        <w:t>多阶段间歇过程2D线性二次跟踪容错控制方法、</w:t>
      </w:r>
      <w:r>
        <w:rPr>
          <w:rFonts w:hint="eastAsia" w:ascii="Times New Roman" w:hAnsi="Times New Roman" w:eastAsia="楷体" w:cs="Times New Roman"/>
          <w:sz w:val="32"/>
          <w:szCs w:val="32"/>
          <w:lang w:val="en-US" w:eastAsia="zh-CN"/>
        </w:rPr>
        <w:t>5.</w:t>
      </w:r>
      <w:r>
        <w:rPr>
          <w:rFonts w:hint="eastAsia" w:ascii="Times New Roman" w:hAnsi="Times New Roman" w:eastAsia="楷体" w:cs="Times New Roman"/>
          <w:sz w:val="32"/>
          <w:szCs w:val="32"/>
          <w:lang w:eastAsia="zh-CN"/>
        </w:rPr>
        <w:t>多阶段间歇过程二维抗干扰预测控制器设计方法、</w:t>
      </w:r>
      <w:r>
        <w:rPr>
          <w:rFonts w:hint="eastAsia" w:ascii="Times New Roman" w:hAnsi="Times New Roman" w:eastAsia="楷体" w:cs="Times New Roman"/>
          <w:sz w:val="32"/>
          <w:szCs w:val="32"/>
          <w:lang w:val="en-US" w:eastAsia="zh-CN"/>
        </w:rPr>
        <w:t>6.</w:t>
      </w:r>
      <w:r>
        <w:rPr>
          <w:rFonts w:hint="eastAsia" w:ascii="Times New Roman" w:hAnsi="Times New Roman" w:eastAsia="楷体" w:cs="Times New Roman"/>
          <w:sz w:val="32"/>
          <w:szCs w:val="32"/>
          <w:lang w:eastAsia="zh-CN"/>
        </w:rPr>
        <w:t>依赖时滞的间歇过程2D输入输出约束控制方法</w:t>
      </w:r>
      <w:r>
        <w:rPr>
          <w:rFonts w:hint="eastAsia" w:ascii="宋体" w:hAnsi="宋体" w:eastAsia="宋体" w:cs="宋体"/>
          <w:b w:val="0"/>
          <w:bCs w:val="0"/>
          <w:sz w:val="30"/>
          <w:szCs w:val="30"/>
          <w:lang w:eastAsia="zh-CN"/>
        </w:rPr>
        <w:br w:type="textWrapping"/>
      </w:r>
      <w:r>
        <w:rPr>
          <w:rFonts w:ascii="Times New Roman" w:hAnsi="Times New Roman" w:eastAsia="楷体" w:cs="Times New Roman"/>
          <w:b/>
          <w:bCs/>
          <w:sz w:val="32"/>
          <w:szCs w:val="32"/>
        </w:rPr>
        <w:t>发</w:t>
      </w:r>
      <w:r>
        <w:rPr>
          <w:rFonts w:hint="eastAsia" w:ascii="Times New Roman" w:hAnsi="Times New Roman" w:eastAsia="楷体" w:cs="Times New Roman"/>
          <w:b/>
          <w:bCs/>
          <w:sz w:val="32"/>
          <w:szCs w:val="32"/>
        </w:rPr>
        <w:t xml:space="preserve"> </w:t>
      </w:r>
      <w:r>
        <w:rPr>
          <w:rFonts w:ascii="Times New Roman" w:hAnsi="Times New Roman" w:eastAsia="楷体" w:cs="Times New Roman"/>
          <w:b/>
          <w:bCs/>
          <w:sz w:val="32"/>
          <w:szCs w:val="32"/>
        </w:rPr>
        <w:t>明</w:t>
      </w:r>
      <w:r>
        <w:rPr>
          <w:rFonts w:hint="eastAsia" w:ascii="Times New Roman" w:hAnsi="Times New Roman" w:eastAsia="楷体" w:cs="Times New Roman"/>
          <w:b/>
          <w:bCs/>
          <w:sz w:val="32"/>
          <w:szCs w:val="32"/>
        </w:rPr>
        <w:t xml:space="preserve"> </w:t>
      </w:r>
      <w:r>
        <w:rPr>
          <w:rFonts w:ascii="Times New Roman" w:hAnsi="Times New Roman" w:eastAsia="楷体" w:cs="Times New Roman"/>
          <w:b/>
          <w:bCs/>
          <w:sz w:val="32"/>
          <w:szCs w:val="32"/>
        </w:rPr>
        <w:t>人</w:t>
      </w:r>
      <w:r>
        <w:rPr>
          <w:rFonts w:ascii="Times New Roman" w:hAnsi="Times New Roman" w:eastAsia="楷体" w:cs="Times New Roman"/>
          <w:sz w:val="32"/>
          <w:szCs w:val="32"/>
        </w:rPr>
        <w:t>：</w:t>
      </w:r>
      <w:r>
        <w:rPr>
          <w:rFonts w:hint="eastAsia" w:ascii="宋体" w:hAnsi="宋体" w:eastAsia="宋体" w:cs="宋体"/>
          <w:color w:val="000000"/>
          <w:kern w:val="0"/>
          <w:sz w:val="24"/>
          <w:szCs w:val="24"/>
        </w:rPr>
        <w:t>罗卫平,王浩森,朱琳,王润泽,张渝新,王立敏,余维燕,王鹏，王心如，王怡心,曹可大,吴爽</w:t>
      </w:r>
    </w:p>
    <w:p w14:paraId="3B3682F0">
      <w:pPr>
        <w:widowControl/>
        <w:adjustRightInd w:val="0"/>
        <w:snapToGrid w:val="0"/>
        <w:spacing w:line="360" w:lineRule="auto"/>
        <w:ind w:firstLine="643" w:firstLineChars="200"/>
        <w:rPr>
          <w:rFonts w:hint="eastAsia" w:ascii="Times New Roman" w:hAnsi="Times New Roman" w:eastAsia="宋体" w:cs="Times New Roman"/>
          <w:sz w:val="32"/>
          <w:szCs w:val="32"/>
          <w:lang w:eastAsia="zh-CN"/>
        </w:rPr>
      </w:pPr>
      <w:r>
        <w:rPr>
          <w:rFonts w:ascii="Times New Roman" w:hAnsi="Times New Roman" w:eastAsia="楷体" w:cs="Times New Roman"/>
          <w:b/>
          <w:bCs/>
          <w:sz w:val="32"/>
          <w:szCs w:val="32"/>
        </w:rPr>
        <w:t>专</w:t>
      </w:r>
      <w:r>
        <w:rPr>
          <w:rFonts w:hint="eastAsia" w:ascii="Times New Roman" w:hAnsi="Times New Roman" w:eastAsia="楷体" w:cs="Times New Roman"/>
          <w:b/>
          <w:bCs/>
          <w:sz w:val="32"/>
          <w:szCs w:val="32"/>
        </w:rPr>
        <w:t xml:space="preserve"> </w:t>
      </w:r>
      <w:r>
        <w:rPr>
          <w:rFonts w:ascii="Times New Roman" w:hAnsi="Times New Roman" w:eastAsia="楷体" w:cs="Times New Roman"/>
          <w:b/>
          <w:bCs/>
          <w:sz w:val="32"/>
          <w:szCs w:val="32"/>
        </w:rPr>
        <w:t>利</w:t>
      </w:r>
      <w:r>
        <w:rPr>
          <w:rFonts w:hint="eastAsia" w:ascii="Times New Roman" w:hAnsi="Times New Roman" w:eastAsia="楷体" w:cs="Times New Roman"/>
          <w:b/>
          <w:bCs/>
          <w:sz w:val="32"/>
          <w:szCs w:val="32"/>
        </w:rPr>
        <w:t xml:space="preserve"> </w:t>
      </w:r>
      <w:r>
        <w:rPr>
          <w:rFonts w:ascii="Times New Roman" w:hAnsi="Times New Roman" w:eastAsia="楷体" w:cs="Times New Roman"/>
          <w:b/>
          <w:bCs/>
          <w:sz w:val="32"/>
          <w:szCs w:val="32"/>
        </w:rPr>
        <w:t>号</w:t>
      </w:r>
      <w:r>
        <w:rPr>
          <w:rFonts w:ascii="Times New Roman" w:hAnsi="Times New Roman" w:eastAsia="楷体" w:cs="Times New Roman"/>
          <w:sz w:val="32"/>
          <w:szCs w:val="32"/>
        </w:rPr>
        <w:t>：</w:t>
      </w:r>
      <w:r>
        <w:rPr>
          <w:rFonts w:hint="eastAsia" w:ascii="宋体" w:hAnsi="宋体" w:eastAsia="宋体" w:cs="宋体"/>
          <w:b w:val="0"/>
          <w:bCs w:val="0"/>
          <w:sz w:val="28"/>
          <w:szCs w:val="28"/>
          <w:u w:val="single"/>
          <w:lang w:val="en-US" w:eastAsia="zh-CN"/>
        </w:rPr>
        <w:t>ZL</w:t>
      </w:r>
      <w:r>
        <w:rPr>
          <w:rFonts w:hint="eastAsia" w:ascii="宋体" w:hAnsi="宋体" w:eastAsia="宋体" w:cs="宋体"/>
          <w:b w:val="0"/>
          <w:bCs w:val="0"/>
          <w:sz w:val="28"/>
          <w:szCs w:val="28"/>
          <w:u w:val="single"/>
        </w:rPr>
        <w:t>201811188481.8</w:t>
      </w:r>
      <w:r>
        <w:rPr>
          <w:rFonts w:hint="eastAsia" w:ascii="宋体" w:hAnsi="宋体" w:eastAsia="宋体" w:cs="宋体"/>
          <w:b w:val="0"/>
          <w:bCs w:val="0"/>
          <w:sz w:val="28"/>
          <w:szCs w:val="28"/>
          <w:u w:val="single"/>
          <w:lang w:eastAsia="zh-CN"/>
        </w:rPr>
        <w:t>，</w:t>
      </w:r>
      <w:r>
        <w:rPr>
          <w:rFonts w:hint="eastAsia" w:ascii="宋体" w:hAnsi="宋体" w:eastAsia="宋体" w:cs="宋体"/>
          <w:b w:val="0"/>
          <w:bCs w:val="0"/>
          <w:sz w:val="28"/>
          <w:szCs w:val="28"/>
          <w:u w:val="single"/>
          <w:lang w:val="en-US" w:eastAsia="zh-CN"/>
        </w:rPr>
        <w:t>ZL</w:t>
      </w:r>
      <w:r>
        <w:rPr>
          <w:rFonts w:hint="eastAsia" w:ascii="宋体" w:hAnsi="宋体" w:eastAsia="宋体" w:cs="宋体"/>
          <w:b w:val="0"/>
          <w:bCs w:val="0"/>
          <w:sz w:val="28"/>
          <w:szCs w:val="28"/>
          <w:u w:val="single"/>
          <w:lang w:eastAsia="zh-CN"/>
        </w:rPr>
        <w:t>201810009893.4，</w:t>
      </w:r>
      <w:r>
        <w:rPr>
          <w:rFonts w:hint="eastAsia" w:ascii="宋体" w:hAnsi="宋体" w:eastAsia="宋体" w:cs="宋体"/>
          <w:b w:val="0"/>
          <w:bCs w:val="0"/>
          <w:sz w:val="28"/>
          <w:szCs w:val="28"/>
          <w:u w:val="single"/>
          <w:lang w:val="en-US" w:eastAsia="zh-CN"/>
        </w:rPr>
        <w:t>ZL</w:t>
      </w:r>
      <w:r>
        <w:rPr>
          <w:rFonts w:hint="eastAsia" w:ascii="宋体" w:hAnsi="宋体" w:eastAsia="宋体" w:cs="宋体"/>
          <w:b w:val="0"/>
          <w:bCs w:val="0"/>
          <w:sz w:val="28"/>
          <w:szCs w:val="28"/>
          <w:u w:val="single"/>
          <w:lang w:eastAsia="zh-CN"/>
        </w:rPr>
        <w:t>201910715314.2，</w:t>
      </w:r>
      <w:r>
        <w:rPr>
          <w:rFonts w:hint="eastAsia" w:ascii="宋体" w:hAnsi="宋体" w:eastAsia="宋体" w:cs="宋体"/>
          <w:b w:val="0"/>
          <w:bCs w:val="0"/>
          <w:sz w:val="28"/>
          <w:szCs w:val="28"/>
          <w:u w:val="single"/>
          <w:lang w:val="en-US" w:eastAsia="zh-CN"/>
        </w:rPr>
        <w:t>ZL</w:t>
      </w:r>
      <w:r>
        <w:rPr>
          <w:rFonts w:hint="eastAsia" w:ascii="宋体" w:hAnsi="宋体" w:eastAsia="宋体" w:cs="宋体"/>
          <w:b w:val="0"/>
          <w:bCs w:val="0"/>
          <w:sz w:val="28"/>
          <w:szCs w:val="28"/>
          <w:u w:val="single"/>
          <w:lang w:eastAsia="zh-CN"/>
        </w:rPr>
        <w:t>201811181464.1，</w:t>
      </w:r>
      <w:r>
        <w:rPr>
          <w:rFonts w:hint="eastAsia" w:ascii="宋体" w:hAnsi="宋体" w:eastAsia="宋体" w:cs="宋体"/>
          <w:b w:val="0"/>
          <w:bCs w:val="0"/>
          <w:sz w:val="28"/>
          <w:szCs w:val="28"/>
          <w:u w:val="single"/>
          <w:lang w:val="en-US" w:eastAsia="zh-CN"/>
        </w:rPr>
        <w:t>ZL</w:t>
      </w:r>
      <w:r>
        <w:rPr>
          <w:rFonts w:hint="eastAsia" w:ascii="宋体" w:hAnsi="宋体" w:eastAsia="宋体" w:cs="宋体"/>
          <w:b w:val="0"/>
          <w:bCs w:val="0"/>
          <w:sz w:val="28"/>
          <w:szCs w:val="28"/>
          <w:u w:val="single"/>
          <w:lang w:eastAsia="zh-CN"/>
        </w:rPr>
        <w:t>201811181415.8，</w:t>
      </w:r>
      <w:r>
        <w:rPr>
          <w:rFonts w:hint="eastAsia" w:ascii="宋体" w:hAnsi="宋体" w:eastAsia="宋体" w:cs="宋体"/>
          <w:b w:val="0"/>
          <w:bCs w:val="0"/>
          <w:sz w:val="28"/>
          <w:szCs w:val="28"/>
          <w:u w:val="single"/>
          <w:lang w:val="en-US" w:eastAsia="zh-CN"/>
        </w:rPr>
        <w:t>ZL</w:t>
      </w:r>
      <w:r>
        <w:rPr>
          <w:rFonts w:hint="eastAsia" w:ascii="宋体" w:hAnsi="宋体" w:eastAsia="宋体" w:cs="宋体"/>
          <w:b w:val="0"/>
          <w:bCs w:val="0"/>
          <w:sz w:val="28"/>
          <w:szCs w:val="28"/>
          <w:u w:val="single"/>
          <w:lang w:eastAsia="zh-CN"/>
        </w:rPr>
        <w:t>201811522233.2</w:t>
      </w:r>
    </w:p>
    <w:p w14:paraId="3549FC0B">
      <w:pPr>
        <w:widowControl/>
        <w:adjustRightInd w:val="0"/>
        <w:snapToGrid w:val="0"/>
        <w:spacing w:line="360" w:lineRule="auto"/>
        <w:ind w:firstLine="643" w:firstLineChars="200"/>
        <w:rPr>
          <w:rFonts w:ascii="Times New Roman" w:hAnsi="Times New Roman" w:eastAsia="楷体" w:cs="Times New Roman"/>
          <w:sz w:val="32"/>
          <w:szCs w:val="32"/>
        </w:rPr>
      </w:pPr>
      <w:r>
        <w:rPr>
          <w:rFonts w:ascii="Times New Roman" w:hAnsi="Times New Roman" w:eastAsia="楷体" w:cs="Times New Roman"/>
          <w:b/>
          <w:bCs/>
          <w:sz w:val="32"/>
          <w:szCs w:val="32"/>
        </w:rPr>
        <w:t>专利权人</w:t>
      </w:r>
      <w:r>
        <w:rPr>
          <w:rFonts w:ascii="Times New Roman" w:hAnsi="Times New Roman" w:eastAsia="楷体" w:cs="Times New Roman"/>
          <w:sz w:val="32"/>
          <w:szCs w:val="32"/>
        </w:rPr>
        <w:t>：海南师范大学</w:t>
      </w:r>
    </w:p>
    <w:p w14:paraId="1977C713">
      <w:pPr>
        <w:widowControl/>
        <w:ind w:firstLine="643" w:firstLineChars="200"/>
        <w:jc w:val="left"/>
        <w:rPr>
          <w:rFonts w:ascii="Times New Roman" w:hAnsi="Times New Roman" w:eastAsia="楷体" w:cs="Times New Roman"/>
          <w:b/>
          <w:bCs/>
          <w:sz w:val="32"/>
          <w:szCs w:val="32"/>
        </w:rPr>
      </w:pPr>
      <w:r>
        <w:rPr>
          <w:rFonts w:ascii="Times New Roman" w:hAnsi="Times New Roman" w:eastAsia="楷体" w:cs="Times New Roman"/>
          <w:b/>
          <w:bCs/>
          <w:sz w:val="32"/>
          <w:szCs w:val="32"/>
        </w:rPr>
        <w:t>简</w:t>
      </w:r>
      <w:r>
        <w:rPr>
          <w:rFonts w:hint="eastAsia" w:ascii="Times New Roman" w:hAnsi="Times New Roman" w:eastAsia="楷体" w:cs="Times New Roman"/>
          <w:b/>
          <w:bCs/>
          <w:sz w:val="32"/>
          <w:szCs w:val="32"/>
        </w:rPr>
        <w:t xml:space="preserve"> </w:t>
      </w:r>
      <w:r>
        <w:rPr>
          <w:rFonts w:ascii="Times New Roman" w:hAnsi="Times New Roman" w:eastAsia="楷体" w:cs="Times New Roman"/>
          <w:b/>
          <w:bCs/>
          <w:sz w:val="32"/>
          <w:szCs w:val="32"/>
        </w:rPr>
        <w:t>介：</w:t>
      </w:r>
    </w:p>
    <w:p w14:paraId="3BB62B97">
      <w:pPr>
        <w:widowControl/>
        <w:numPr>
          <w:numId w:val="0"/>
        </w:numPr>
        <w:ind w:firstLine="440" w:firstLineChars="200"/>
        <w:jc w:val="both"/>
        <w:rPr>
          <w:rFonts w:hint="eastAsia" w:ascii="宋体" w:hAnsi="宋体" w:eastAsia="宋体" w:cs="宋体"/>
          <w:b w:val="0"/>
          <w:bCs w:val="0"/>
          <w:sz w:val="22"/>
          <w:szCs w:val="22"/>
          <w:lang w:val="en-US" w:eastAsia="zh-CN"/>
        </w:rPr>
      </w:pPr>
      <w:r>
        <w:rPr>
          <w:rFonts w:hint="eastAsia" w:ascii="宋体" w:hAnsi="宋体" w:eastAsia="宋体" w:cs="宋体"/>
          <w:sz w:val="22"/>
          <w:szCs w:val="22"/>
          <w:lang w:val="en-US" w:eastAsia="zh-CN"/>
        </w:rPr>
        <w:t>1.</w:t>
      </w:r>
      <w:r>
        <w:rPr>
          <w:rFonts w:ascii="宋体" w:hAnsi="宋体" w:eastAsia="宋体" w:cs="宋体"/>
          <w:sz w:val="22"/>
          <w:szCs w:val="22"/>
        </w:rPr>
        <w:t>本</w:t>
      </w:r>
      <w:r>
        <w:rPr>
          <w:rFonts w:hint="eastAsia" w:ascii="宋体" w:hAnsi="宋体" w:eastAsia="宋体" w:cs="宋体"/>
          <w:sz w:val="22"/>
          <w:szCs w:val="22"/>
          <w:lang w:val="en-US" w:eastAsia="zh-CN"/>
        </w:rPr>
        <w:t>发明</w:t>
      </w:r>
      <w:r>
        <w:rPr>
          <w:rFonts w:ascii="宋体" w:hAnsi="宋体" w:eastAsia="宋体" w:cs="宋体"/>
          <w:sz w:val="22"/>
          <w:szCs w:val="22"/>
        </w:rPr>
        <w:t>公布了</w:t>
      </w:r>
      <w:r>
        <w:rPr>
          <w:rFonts w:hint="eastAsia" w:ascii="宋体" w:hAnsi="宋体" w:cs="宋体"/>
          <w:b/>
          <w:bCs/>
          <w:color w:val="000000"/>
          <w:kern w:val="0"/>
          <w:sz w:val="24"/>
        </w:rPr>
        <w:t>间歇过程的受限滚动时域混杂2D跟踪控制方法</w:t>
      </w:r>
      <w:r>
        <w:rPr>
          <w:rFonts w:hint="eastAsia" w:ascii="宋体" w:hAnsi="宋体" w:eastAsia="宋体" w:cs="宋体"/>
          <w:b/>
          <w:bCs/>
          <w:sz w:val="22"/>
          <w:szCs w:val="22"/>
          <w:lang w:eastAsia="zh-CN"/>
        </w:rPr>
        <w:t>。</w:t>
      </w:r>
      <w:r>
        <w:rPr>
          <w:rFonts w:hint="eastAsia" w:ascii="宋体" w:hAnsi="宋体" w:eastAsia="宋体" w:cs="宋体"/>
          <w:b w:val="0"/>
          <w:bCs w:val="0"/>
          <w:sz w:val="22"/>
          <w:szCs w:val="22"/>
          <w:lang w:eastAsia="zh-CN"/>
        </w:rPr>
        <w:t>包括以下步骤：步骤1、建立等价2D间歇过程的状态空间模型；步骤2、设计受限滚动时域混杂2D跟踪控制器；步骤3、根据不同阶段的性能指标，设计不同阶段的最优控制器和切换信号来获得不同阶段切换条件和运行时间；步骤4、稳定性分析，根据2D系统Lyapunov函数稳定性理论和平均驻留时间方法，得出系统稳定的条件并设计满足系统稳定的切换信号。本发明所提方法，简单易行，系统运行时间明显缩短，从而提高了生产效率，且具有实时更新，跟踪快，控制性能好的特点。</w:t>
      </w:r>
      <w:r>
        <w:rPr>
          <w:rFonts w:hint="eastAsia" w:ascii="宋体" w:hAnsi="宋体" w:eastAsia="宋体" w:cs="宋体"/>
          <w:b w:val="0"/>
          <w:bCs w:val="0"/>
          <w:sz w:val="22"/>
          <w:szCs w:val="22"/>
          <w:lang w:val="en-US" w:eastAsia="zh-CN"/>
        </w:rPr>
        <w:t xml:space="preserve"> </w:t>
      </w:r>
    </w:p>
    <w:p w14:paraId="3FAB8D61">
      <w:pPr>
        <w:widowControl/>
        <w:numPr>
          <w:ilvl w:val="0"/>
          <w:numId w:val="0"/>
        </w:numPr>
        <w:jc w:val="both"/>
        <w:rPr>
          <w:rFonts w:hint="eastAsia" w:ascii="宋体" w:hAnsi="宋体" w:eastAsia="宋体" w:cs="宋体"/>
          <w:color w:val="000000"/>
          <w:kern w:val="0"/>
          <w:sz w:val="22"/>
          <w:szCs w:val="22"/>
        </w:rPr>
      </w:pPr>
      <w:r>
        <w:rPr>
          <w:rFonts w:hint="eastAsia" w:ascii="宋体" w:hAnsi="宋体" w:eastAsia="宋体" w:cs="宋体"/>
          <w:b w:val="0"/>
          <w:bCs w:val="0"/>
          <w:sz w:val="22"/>
          <w:szCs w:val="22"/>
          <w:lang w:eastAsia="zh-CN"/>
        </w:rPr>
        <w:br w:type="textWrapping"/>
      </w:r>
      <w:r>
        <w:rPr>
          <w:rFonts w:hint="eastAsia" w:ascii="宋体" w:hAnsi="宋体" w:eastAsia="宋体" w:cs="宋体"/>
          <w:b w:val="0"/>
          <w:bCs w:val="0"/>
          <w:sz w:val="22"/>
          <w:szCs w:val="22"/>
          <w:lang w:val="en-US" w:eastAsia="zh-CN"/>
        </w:rPr>
        <w:t xml:space="preserve">    </w:t>
      </w:r>
      <w:r>
        <w:rPr>
          <w:rFonts w:hint="eastAsia" w:ascii="宋体" w:hAnsi="宋体" w:eastAsia="宋体" w:cs="宋体"/>
          <w:sz w:val="24"/>
          <w:szCs w:val="24"/>
          <w:lang w:val="en-US" w:eastAsia="zh-CN"/>
        </w:rPr>
        <w:t>2.</w:t>
      </w:r>
      <w:r>
        <w:rPr>
          <w:rFonts w:ascii="宋体" w:hAnsi="宋体" w:eastAsia="宋体" w:cs="宋体"/>
          <w:sz w:val="22"/>
          <w:szCs w:val="22"/>
        </w:rPr>
        <w:t>本</w:t>
      </w:r>
      <w:r>
        <w:rPr>
          <w:rFonts w:hint="eastAsia" w:ascii="宋体" w:hAnsi="宋体" w:eastAsia="宋体" w:cs="宋体"/>
          <w:sz w:val="22"/>
          <w:szCs w:val="22"/>
          <w:lang w:val="en-US" w:eastAsia="zh-CN"/>
        </w:rPr>
        <w:t>发明</w:t>
      </w:r>
      <w:r>
        <w:rPr>
          <w:rFonts w:ascii="宋体" w:hAnsi="宋体" w:eastAsia="宋体" w:cs="宋体"/>
          <w:sz w:val="22"/>
          <w:szCs w:val="22"/>
        </w:rPr>
        <w:t>公布了</w:t>
      </w:r>
      <w:r>
        <w:rPr>
          <w:rFonts w:hint="eastAsia" w:ascii="宋体" w:hAnsi="宋体" w:cs="宋体"/>
          <w:b/>
          <w:bCs/>
          <w:color w:val="000000"/>
          <w:kern w:val="0"/>
          <w:sz w:val="24"/>
          <w:lang w:eastAsia="zh-CN"/>
        </w:rPr>
        <w:t>非线性批次过程2D最优约束模糊容错控制方法</w:t>
      </w:r>
      <w:r>
        <w:rPr>
          <w:rFonts w:hint="eastAsia" w:ascii="宋体" w:hAnsi="宋体" w:eastAsia="宋体" w:cs="宋体"/>
          <w:b/>
          <w:bCs/>
          <w:sz w:val="22"/>
          <w:szCs w:val="22"/>
          <w:lang w:eastAsia="zh-CN"/>
        </w:rPr>
        <w:t>。</w:t>
      </w:r>
      <w:r>
        <w:rPr>
          <w:rFonts w:hint="eastAsia" w:ascii="宋体" w:hAnsi="宋体" w:eastAsia="宋体" w:cs="宋体"/>
          <w:color w:val="000000"/>
          <w:kern w:val="0"/>
          <w:sz w:val="22"/>
          <w:szCs w:val="22"/>
          <w:lang w:eastAsia="zh-CN"/>
        </w:rPr>
        <w:t>本发明通过批次过程的非线性和二维特性，建立2D T‑S模糊状态空间模型，进一步结合系统状态误差和输出误差，用Roesser模型将原系统的动态模型转化为一个以预测形式表示的闭环故障模糊系统模型，将设计约束模糊迭代学习容错控制律转化为确定约束更新律；根据所设计的无穷优化性能指标和2D系统Lyapunov稳定性理论，以线性矩阵不等式（LMI）约束形式给出确保闭环系统鲁棒渐近稳定的模糊容错更新律实时在线设计</w:t>
      </w:r>
      <w:r>
        <w:rPr>
          <w:rFonts w:hint="eastAsia" w:ascii="宋体" w:hAnsi="宋体" w:eastAsia="宋体" w:cs="宋体"/>
          <w:color w:val="000000"/>
          <w:kern w:val="0"/>
          <w:sz w:val="22"/>
          <w:szCs w:val="22"/>
          <w:lang w:eastAsia="zh-CN"/>
        </w:rPr>
        <w:br w:type="textWrapping"/>
      </w:r>
      <w:r>
        <w:rPr>
          <w:rFonts w:hint="eastAsia" w:ascii="宋体" w:hAnsi="宋体" w:eastAsia="宋体" w:cs="宋体"/>
          <w:color w:val="000000"/>
          <w:kern w:val="0"/>
          <w:sz w:val="22"/>
          <w:szCs w:val="22"/>
          <w:lang w:val="en-US" w:eastAsia="zh-CN"/>
        </w:rPr>
        <w:t xml:space="preserve">    </w:t>
      </w:r>
      <w:r>
        <w:rPr>
          <w:rFonts w:hint="eastAsia" w:ascii="宋体" w:hAnsi="宋体" w:eastAsia="宋体" w:cs="宋体"/>
          <w:sz w:val="24"/>
          <w:szCs w:val="24"/>
          <w:lang w:val="en-US" w:eastAsia="zh-CN"/>
        </w:rPr>
        <w:t>3.</w:t>
      </w:r>
      <w:r>
        <w:rPr>
          <w:rFonts w:ascii="宋体" w:hAnsi="宋体" w:eastAsia="宋体" w:cs="宋体"/>
          <w:sz w:val="22"/>
          <w:szCs w:val="22"/>
        </w:rPr>
        <w:t>本</w:t>
      </w:r>
      <w:r>
        <w:rPr>
          <w:rFonts w:hint="eastAsia" w:ascii="宋体" w:hAnsi="宋体" w:eastAsia="宋体" w:cs="宋体"/>
          <w:sz w:val="22"/>
          <w:szCs w:val="22"/>
          <w:lang w:val="en-US" w:eastAsia="zh-CN"/>
        </w:rPr>
        <w:t>发明</w:t>
      </w:r>
      <w:r>
        <w:rPr>
          <w:rFonts w:ascii="宋体" w:hAnsi="宋体" w:eastAsia="宋体" w:cs="宋体"/>
          <w:sz w:val="22"/>
          <w:szCs w:val="22"/>
        </w:rPr>
        <w:t>公布了</w:t>
      </w:r>
      <w:r>
        <w:rPr>
          <w:rFonts w:hint="eastAsia" w:ascii="宋体" w:hAnsi="宋体" w:cs="宋体"/>
          <w:b/>
          <w:bCs/>
          <w:color w:val="000000"/>
          <w:kern w:val="0"/>
          <w:sz w:val="24"/>
          <w:lang w:eastAsia="zh-CN"/>
        </w:rPr>
        <w:t>抗不确定性的2D分段仿射间歇过程最小-最大优化的预测控制方法</w:t>
      </w:r>
      <w:r>
        <w:rPr>
          <w:rFonts w:hint="eastAsia" w:ascii="宋体" w:hAnsi="宋体" w:eastAsia="宋体" w:cs="宋体"/>
          <w:b/>
          <w:bCs/>
          <w:sz w:val="22"/>
          <w:szCs w:val="22"/>
          <w:lang w:eastAsia="zh-CN"/>
        </w:rPr>
        <w:t>。</w:t>
      </w:r>
      <w:r>
        <w:rPr>
          <w:rFonts w:hint="eastAsia" w:ascii="宋体" w:hAnsi="宋体" w:eastAsia="宋体" w:cs="宋体"/>
          <w:b w:val="0"/>
          <w:bCs w:val="0"/>
          <w:sz w:val="22"/>
          <w:szCs w:val="22"/>
          <w:lang w:eastAsia="zh-CN"/>
        </w:rPr>
        <w:t>该</w:t>
      </w:r>
      <w:r>
        <w:rPr>
          <w:rFonts w:hint="eastAsia" w:ascii="宋体" w:hAnsi="宋体" w:eastAsia="宋体" w:cs="宋体"/>
          <w:color w:val="000000"/>
          <w:kern w:val="0"/>
          <w:sz w:val="22"/>
          <w:szCs w:val="22"/>
        </w:rPr>
        <w:t>发明属于工业过程的先进控制领域，包括以下步骤：步骤1、针对间歇过程的非线性特性，将其分成一系列仿射运算区域，建立被控对象以状态空间模型为基础的具有不确定性的二维预测控制系统模型；步骤2、针对新的状态空间模型，设计被控对象的抗不确定性2D分段仿射最小‑最大优化的预测控制器。该方法将非线性系统分成一系列线性分段仿射模型，并在不确定性下设计了分段仿射间歇过程最小‑最大优化的预测控制器，使得系统在各种不确定性存在的情况下，依然稳定运行，并实现良好的控制性能。</w:t>
      </w:r>
    </w:p>
    <w:p w14:paraId="06049E5B">
      <w:pPr>
        <w:widowControl/>
        <w:numPr>
          <w:ilvl w:val="0"/>
          <w:numId w:val="0"/>
        </w:numPr>
        <w:jc w:val="both"/>
        <w:rPr>
          <w:rFonts w:hint="eastAsia" w:ascii="宋体" w:hAnsi="宋体" w:eastAsia="宋体" w:cs="宋体"/>
          <w:color w:val="000000"/>
          <w:kern w:val="0"/>
          <w:sz w:val="22"/>
          <w:szCs w:val="22"/>
        </w:rPr>
      </w:pPr>
    </w:p>
    <w:p w14:paraId="19AFB7BF">
      <w:pPr>
        <w:widowControl/>
        <w:numPr>
          <w:ilvl w:val="0"/>
          <w:numId w:val="0"/>
        </w:numPr>
        <w:ind w:firstLine="480" w:firstLineChars="200"/>
        <w:jc w:val="both"/>
        <w:rPr>
          <w:rFonts w:hint="eastAsia" w:ascii="宋体" w:hAnsi="宋体" w:eastAsia="宋体" w:cs="宋体"/>
          <w:sz w:val="22"/>
          <w:szCs w:val="22"/>
        </w:rPr>
      </w:pPr>
      <w:r>
        <w:rPr>
          <w:rFonts w:hint="eastAsia" w:ascii="宋体" w:hAnsi="宋体" w:eastAsia="宋体" w:cs="宋体"/>
          <w:sz w:val="24"/>
          <w:szCs w:val="24"/>
          <w:lang w:val="en-US" w:eastAsia="zh-CN"/>
        </w:rPr>
        <w:t>4.</w:t>
      </w:r>
      <w:r>
        <w:rPr>
          <w:rFonts w:ascii="宋体" w:hAnsi="宋体" w:eastAsia="宋体" w:cs="宋体"/>
          <w:sz w:val="22"/>
          <w:szCs w:val="22"/>
        </w:rPr>
        <w:t>本</w:t>
      </w:r>
      <w:r>
        <w:rPr>
          <w:rFonts w:hint="eastAsia" w:ascii="宋体" w:hAnsi="宋体" w:eastAsia="宋体" w:cs="宋体"/>
          <w:sz w:val="22"/>
          <w:szCs w:val="22"/>
          <w:lang w:val="en-US" w:eastAsia="zh-CN"/>
        </w:rPr>
        <w:t>发明</w:t>
      </w:r>
      <w:r>
        <w:rPr>
          <w:rFonts w:ascii="宋体" w:hAnsi="宋体" w:eastAsia="宋体" w:cs="宋体"/>
          <w:sz w:val="22"/>
          <w:szCs w:val="22"/>
        </w:rPr>
        <w:t>公布了</w:t>
      </w:r>
      <w:r>
        <w:rPr>
          <w:rFonts w:hint="eastAsia" w:ascii="宋体" w:hAnsi="宋体" w:cs="宋体"/>
          <w:b/>
          <w:bCs/>
          <w:color w:val="000000"/>
          <w:kern w:val="0"/>
          <w:sz w:val="24"/>
          <w:lang w:eastAsia="zh-CN"/>
        </w:rPr>
        <w:t>多阶段间歇过程2D线性二次跟踪容错控制方法</w:t>
      </w:r>
      <w:r>
        <w:rPr>
          <w:rFonts w:ascii="宋体" w:hAnsi="宋体" w:eastAsia="宋体" w:cs="宋体"/>
          <w:sz w:val="22"/>
          <w:szCs w:val="22"/>
        </w:rPr>
        <w:t>。</w:t>
      </w:r>
      <w:r>
        <w:rPr>
          <w:rFonts w:hint="eastAsia" w:ascii="宋体" w:hAnsi="宋体" w:eastAsia="宋体" w:cs="宋体"/>
          <w:sz w:val="22"/>
          <w:szCs w:val="22"/>
          <w:lang w:eastAsia="zh-CN"/>
        </w:rPr>
        <w:t>该</w:t>
      </w:r>
      <w:r>
        <w:rPr>
          <w:rFonts w:hint="eastAsia" w:ascii="宋体" w:hAnsi="宋体" w:eastAsia="宋体" w:cs="宋体"/>
          <w:sz w:val="22"/>
          <w:szCs w:val="22"/>
        </w:rPr>
        <w:t>发明包括以下步骤：步骤1、针对间歇过程中不同阶段，建立被控对象以状态空间模型为基础的具有故障二维的切换系统模型；步骤2、考虑含自由终端状态的非最小实现不同阶段2D切换系统模型，针对正常系统，设计被控对象的无穷时域的间歇过程线性二次二维迭代学习控制器，即最优控制器；步骤3、针对新型二维切换系统模型，找出系统稳定条件和设计切换信号。此方法根据不同阶段和执行器故障设计相应简单实时灵活调节的控制器，控制器具有一定的鲁棒性，从而提高了控制品质，设计简单，运算量小，不仅保证系统的最优控制性能，而且缩短系统运行时间，实现高效生产。</w:t>
      </w:r>
    </w:p>
    <w:p w14:paraId="4E1582DD">
      <w:pPr>
        <w:widowControl/>
        <w:numPr>
          <w:ilvl w:val="0"/>
          <w:numId w:val="0"/>
        </w:numPr>
        <w:jc w:val="both"/>
        <w:rPr>
          <w:rFonts w:hint="eastAsia" w:ascii="宋体" w:hAnsi="宋体" w:eastAsia="宋体" w:cs="宋体"/>
          <w:sz w:val="22"/>
          <w:szCs w:val="22"/>
        </w:rPr>
      </w:pPr>
    </w:p>
    <w:p w14:paraId="6D0775A8">
      <w:pPr>
        <w:widowControl/>
        <w:numPr>
          <w:ilvl w:val="0"/>
          <w:numId w:val="0"/>
        </w:numPr>
        <w:ind w:left="0" w:leftChars="0" w:firstLine="420" w:firstLineChars="175"/>
        <w:jc w:val="both"/>
        <w:rPr>
          <w:rFonts w:hint="eastAsia" w:ascii="宋体" w:hAnsi="宋体" w:eastAsia="宋体" w:cs="宋体"/>
          <w:sz w:val="22"/>
          <w:szCs w:val="22"/>
          <w:lang w:eastAsia="zh-CN"/>
        </w:rPr>
      </w:pPr>
      <w:r>
        <w:rPr>
          <w:rFonts w:hint="eastAsia" w:ascii="宋体" w:hAnsi="宋体" w:eastAsia="宋体" w:cs="宋体"/>
          <w:sz w:val="24"/>
          <w:szCs w:val="24"/>
          <w:lang w:val="en-US" w:eastAsia="zh-CN"/>
        </w:rPr>
        <w:t>5.</w:t>
      </w:r>
      <w:r>
        <w:rPr>
          <w:rFonts w:ascii="宋体" w:hAnsi="宋体" w:eastAsia="宋体" w:cs="宋体"/>
          <w:sz w:val="22"/>
          <w:szCs w:val="22"/>
        </w:rPr>
        <w:t>本</w:t>
      </w:r>
      <w:r>
        <w:rPr>
          <w:rFonts w:hint="eastAsia" w:ascii="宋体" w:hAnsi="宋体" w:eastAsia="宋体" w:cs="宋体"/>
          <w:sz w:val="22"/>
          <w:szCs w:val="22"/>
          <w:lang w:val="en-US" w:eastAsia="zh-CN"/>
        </w:rPr>
        <w:t>发明</w:t>
      </w:r>
      <w:r>
        <w:rPr>
          <w:rFonts w:ascii="宋体" w:hAnsi="宋体" w:eastAsia="宋体" w:cs="宋体"/>
          <w:sz w:val="22"/>
          <w:szCs w:val="22"/>
        </w:rPr>
        <w:t>公布了</w:t>
      </w:r>
      <w:r>
        <w:rPr>
          <w:rFonts w:hint="eastAsia" w:ascii="宋体" w:hAnsi="宋体" w:cs="宋体"/>
          <w:b/>
          <w:bCs/>
          <w:color w:val="000000"/>
          <w:kern w:val="0"/>
          <w:sz w:val="24"/>
          <w:lang w:eastAsia="zh-CN"/>
        </w:rPr>
        <w:t>多阶段间歇过程二维抗干扰预测控制器设计方法</w:t>
      </w:r>
      <w:r>
        <w:rPr>
          <w:rFonts w:ascii="宋体" w:hAnsi="宋体" w:eastAsia="宋体" w:cs="宋体"/>
          <w:sz w:val="22"/>
          <w:szCs w:val="22"/>
        </w:rPr>
        <w:t>。</w:t>
      </w:r>
      <w:r>
        <w:rPr>
          <w:rFonts w:hint="eastAsia" w:ascii="宋体" w:hAnsi="宋体" w:eastAsia="宋体" w:cs="宋体"/>
          <w:sz w:val="22"/>
          <w:szCs w:val="22"/>
          <w:lang w:eastAsia="zh-CN"/>
        </w:rPr>
        <w:t>该</w:t>
      </w:r>
      <w:r>
        <w:rPr>
          <w:rFonts w:ascii="宋体" w:hAnsi="宋体" w:eastAsia="宋体" w:cs="宋体"/>
          <w:sz w:val="22"/>
          <w:szCs w:val="22"/>
        </w:rPr>
        <w:t>发明</w:t>
      </w:r>
      <w:r>
        <w:rPr>
          <w:rFonts w:hint="eastAsia" w:ascii="宋体" w:hAnsi="宋体" w:eastAsia="宋体" w:cs="宋体"/>
          <w:sz w:val="22"/>
          <w:szCs w:val="22"/>
        </w:rPr>
        <w:t>包括以下具体步骤：步骤1、根据所给出的状态空间模型，引入状态误差和跟踪误差将状态空间模型转换为基于2D‑FM模型为框架，在干扰下的扩展空间模型；步骤2、针对不同阶段的性能指标，求出不同阶段最优控制器及系统外部干扰；步骤3、依赖于Lyapunov函数的稳定理论，得出在干扰影响下系统稳定的条件和最小运行时间，并设计满足系统稳定的切换信号。本发明的有益效果为：该方法保证了系统在有干扰的环境下，依然可以稳定运行。此方法得出的结果不需引用任何其它变量，简单易行</w:t>
      </w:r>
      <w:r>
        <w:rPr>
          <w:rFonts w:hint="eastAsia" w:ascii="宋体" w:hAnsi="宋体" w:eastAsia="宋体" w:cs="宋体"/>
          <w:sz w:val="22"/>
          <w:szCs w:val="22"/>
          <w:lang w:eastAsia="zh-CN"/>
        </w:rPr>
        <w:t>。</w:t>
      </w:r>
    </w:p>
    <w:p w14:paraId="152E9B25">
      <w:pPr>
        <w:widowControl/>
        <w:numPr>
          <w:ilvl w:val="0"/>
          <w:numId w:val="0"/>
        </w:numPr>
        <w:ind w:leftChars="200"/>
        <w:jc w:val="both"/>
        <w:rPr>
          <w:rFonts w:hint="eastAsia" w:ascii="宋体" w:hAnsi="宋体" w:eastAsia="宋体" w:cs="宋体"/>
          <w:sz w:val="22"/>
          <w:szCs w:val="22"/>
          <w:lang w:eastAsia="zh-CN"/>
        </w:rPr>
      </w:pPr>
    </w:p>
    <w:p w14:paraId="3EDFC48D">
      <w:pPr>
        <w:widowControl/>
        <w:numPr>
          <w:numId w:val="0"/>
        </w:numPr>
        <w:ind w:firstLine="440" w:firstLineChars="200"/>
        <w:jc w:val="both"/>
        <w:rPr>
          <w:rFonts w:hint="eastAsia" w:ascii="宋体" w:hAnsi="宋体" w:eastAsia="宋体" w:cs="宋体"/>
          <w:color w:val="000000"/>
          <w:kern w:val="0"/>
          <w:sz w:val="22"/>
          <w:szCs w:val="22"/>
        </w:rPr>
      </w:pPr>
      <w:r>
        <w:rPr>
          <w:rFonts w:hint="eastAsia" w:ascii="宋体" w:hAnsi="宋体" w:eastAsia="宋体" w:cs="宋体"/>
          <w:sz w:val="22"/>
          <w:szCs w:val="22"/>
          <w:lang w:val="en-US" w:eastAsia="zh-CN"/>
        </w:rPr>
        <w:t>6.</w:t>
      </w:r>
      <w:r>
        <w:rPr>
          <w:rFonts w:ascii="宋体" w:hAnsi="宋体" w:eastAsia="宋体" w:cs="宋体"/>
          <w:sz w:val="22"/>
          <w:szCs w:val="22"/>
        </w:rPr>
        <w:t>本</w:t>
      </w:r>
      <w:r>
        <w:rPr>
          <w:rFonts w:hint="eastAsia" w:ascii="宋体" w:hAnsi="宋体" w:eastAsia="宋体" w:cs="宋体"/>
          <w:sz w:val="22"/>
          <w:szCs w:val="22"/>
          <w:lang w:val="en-US" w:eastAsia="zh-CN"/>
        </w:rPr>
        <w:t>发明</w:t>
      </w:r>
      <w:r>
        <w:rPr>
          <w:rFonts w:ascii="宋体" w:hAnsi="宋体" w:eastAsia="宋体" w:cs="宋体"/>
          <w:sz w:val="22"/>
          <w:szCs w:val="22"/>
        </w:rPr>
        <w:t>公布了</w:t>
      </w:r>
      <w:r>
        <w:rPr>
          <w:rFonts w:hint="eastAsia" w:ascii="宋体" w:hAnsi="宋体" w:cs="宋体"/>
          <w:b/>
          <w:bCs/>
          <w:color w:val="000000"/>
          <w:kern w:val="0"/>
          <w:sz w:val="24"/>
          <w:lang w:eastAsia="zh-CN"/>
        </w:rPr>
        <w:t>依赖时滞的间歇过程2D输入输出约束控制方法</w:t>
      </w:r>
      <w:r>
        <w:rPr>
          <w:rFonts w:ascii="宋体" w:hAnsi="宋体" w:eastAsia="宋体" w:cs="宋体"/>
          <w:sz w:val="22"/>
          <w:szCs w:val="22"/>
        </w:rPr>
        <w:t>。</w:t>
      </w:r>
      <w:r>
        <w:rPr>
          <w:rFonts w:hint="eastAsia" w:ascii="宋体" w:hAnsi="宋体" w:eastAsia="宋体" w:cs="宋体"/>
          <w:sz w:val="22"/>
          <w:szCs w:val="22"/>
          <w:lang w:eastAsia="zh-CN"/>
        </w:rPr>
        <w:t>该</w:t>
      </w:r>
      <w:r>
        <w:rPr>
          <w:rFonts w:hint="eastAsia" w:ascii="宋体" w:hAnsi="宋体" w:eastAsia="宋体" w:cs="宋体"/>
          <w:color w:val="000000"/>
          <w:kern w:val="0"/>
          <w:sz w:val="22"/>
          <w:szCs w:val="22"/>
        </w:rPr>
        <w:t>发明属于工业过程的先进控制领域，包括以下步骤：步骤1、针对间歇过程中单个阶段，建立被控对象以状态空间模型为基础的具有状态时滞的二维系统模型，步骤2、针对步骤1.3中构建的二维闭环系统模型，设计迭代学习预测控制器；本发明的优点为：跟踪误差数值小，收敛速度快，能够在大约10个批次快速收敛到稳定状态，在达到稳定状态后跟踪误差的曲线平滑，接近于零误差；可以在很短的时间内跟踪上设定的参考轨迹，变化率要明显大于传统的一维方法，而且系统在发生突变时，曲线反应更加灵敏。</w:t>
      </w:r>
    </w:p>
    <w:p w14:paraId="5CF3D33A">
      <w:pPr>
        <w:widowControl/>
        <w:numPr>
          <w:ilvl w:val="0"/>
          <w:numId w:val="0"/>
        </w:numPr>
        <w:jc w:val="both"/>
        <w:rPr>
          <w:rFonts w:ascii="Times New Roman" w:hAnsi="Times New Roman" w:eastAsia="楷体" w:cs="Times New Roman"/>
          <w:b/>
          <w:bCs/>
          <w:sz w:val="32"/>
          <w:szCs w:val="32"/>
        </w:rPr>
      </w:pPr>
      <w:r>
        <w:rPr>
          <w:rFonts w:hint="eastAsia" w:ascii="宋体" w:hAnsi="宋体" w:eastAsia="宋体" w:cs="宋体"/>
          <w:color w:val="000000"/>
          <w:kern w:val="0"/>
          <w:sz w:val="22"/>
          <w:szCs w:val="22"/>
        </w:rPr>
        <w:br w:type="textWrapping"/>
      </w:r>
      <w:r>
        <w:rPr>
          <w:rFonts w:hint="eastAsia" w:ascii="Times New Roman" w:hAnsi="Times New Roman" w:eastAsia="楷体" w:cs="Times New Roman"/>
          <w:b/>
          <w:bCs/>
          <w:sz w:val="32"/>
          <w:szCs w:val="32"/>
        </w:rPr>
        <w:t>二、科技成果转化方式</w:t>
      </w:r>
    </w:p>
    <w:p w14:paraId="4934539E">
      <w:pPr>
        <w:widowControl/>
        <w:adjustRightInd w:val="0"/>
        <w:snapToGrid w:val="0"/>
        <w:spacing w:line="360" w:lineRule="auto"/>
        <w:ind w:firstLine="640" w:firstLineChars="200"/>
        <w:rPr>
          <w:rFonts w:hint="eastAsia" w:ascii="Times New Roman" w:hAnsi="Times New Roman" w:eastAsia="楷体" w:cs="Times New Roman"/>
          <w:sz w:val="32"/>
          <w:szCs w:val="32"/>
        </w:rPr>
      </w:pPr>
      <w:r>
        <w:rPr>
          <w:rFonts w:hint="eastAsia" w:ascii="Times New Roman" w:hAnsi="Times New Roman" w:eastAsia="楷体" w:cs="Times New Roman"/>
          <w:sz w:val="32"/>
          <w:szCs w:val="32"/>
        </w:rPr>
        <w:t>转让</w:t>
      </w:r>
    </w:p>
    <w:p w14:paraId="0D51A63E">
      <w:pPr>
        <w:widowControl/>
        <w:adjustRightInd w:val="0"/>
        <w:snapToGrid w:val="0"/>
        <w:spacing w:line="360" w:lineRule="auto"/>
        <w:rPr>
          <w:rFonts w:ascii="Times New Roman" w:hAnsi="Times New Roman" w:eastAsia="楷体" w:cs="Times New Roman"/>
          <w:b/>
          <w:bCs/>
          <w:sz w:val="32"/>
          <w:szCs w:val="32"/>
        </w:rPr>
      </w:pPr>
      <w:r>
        <w:rPr>
          <w:rFonts w:hint="eastAsia" w:ascii="Times New Roman" w:hAnsi="Times New Roman" w:eastAsia="楷体" w:cs="Times New Roman"/>
          <w:b/>
          <w:bCs/>
          <w:sz w:val="32"/>
          <w:szCs w:val="32"/>
          <w:lang w:val="en-US" w:eastAsia="zh-CN"/>
        </w:rPr>
        <w:t>三</w:t>
      </w:r>
      <w:r>
        <w:rPr>
          <w:rFonts w:ascii="Times New Roman" w:hAnsi="Times New Roman" w:eastAsia="楷体" w:cs="Times New Roman"/>
          <w:b/>
          <w:bCs/>
          <w:sz w:val="32"/>
          <w:szCs w:val="32"/>
        </w:rPr>
        <w:t>、拟交易价格</w:t>
      </w:r>
    </w:p>
    <w:p w14:paraId="10634243">
      <w:pPr>
        <w:widowControl/>
        <w:adjustRightInd w:val="0"/>
        <w:snapToGrid w:val="0"/>
        <w:spacing w:line="360" w:lineRule="auto"/>
        <w:ind w:firstLine="640" w:firstLineChars="200"/>
        <w:rPr>
          <w:rFonts w:ascii="Times New Roman" w:hAnsi="Times New Roman" w:eastAsia="楷体" w:cs="Times New Roman"/>
          <w:sz w:val="32"/>
          <w:szCs w:val="32"/>
        </w:rPr>
      </w:pPr>
      <w:r>
        <w:rPr>
          <w:rFonts w:ascii="Times New Roman" w:hAnsi="Times New Roman" w:eastAsia="楷体" w:cs="Times New Roman"/>
          <w:sz w:val="32"/>
          <w:szCs w:val="32"/>
        </w:rPr>
        <w:t>转让费（全国独家买断）：1</w:t>
      </w:r>
      <w:r>
        <w:rPr>
          <w:rFonts w:hint="eastAsia" w:ascii="Times New Roman" w:hAnsi="Times New Roman" w:eastAsia="楷体" w:cs="Times New Roman"/>
          <w:sz w:val="32"/>
          <w:szCs w:val="32"/>
          <w:lang w:val="en-US" w:eastAsia="zh-CN"/>
        </w:rPr>
        <w:t>.82</w:t>
      </w:r>
      <w:r>
        <w:rPr>
          <w:rFonts w:ascii="Times New Roman" w:hAnsi="Times New Roman" w:eastAsia="楷体" w:cs="Times New Roman"/>
          <w:sz w:val="32"/>
          <w:szCs w:val="32"/>
        </w:rPr>
        <w:t>万元</w:t>
      </w:r>
    </w:p>
    <w:p w14:paraId="4AF1BE7C">
      <w:pPr>
        <w:widowControl/>
        <w:adjustRightInd w:val="0"/>
        <w:snapToGrid w:val="0"/>
        <w:spacing w:line="360" w:lineRule="auto"/>
        <w:rPr>
          <w:rFonts w:ascii="Times New Roman" w:hAnsi="Times New Roman" w:eastAsia="楷体" w:cs="Times New Roman"/>
          <w:b/>
          <w:bCs/>
          <w:sz w:val="32"/>
          <w:szCs w:val="32"/>
        </w:rPr>
      </w:pPr>
      <w:r>
        <w:rPr>
          <w:rFonts w:hint="eastAsia" w:ascii="Times New Roman" w:hAnsi="Times New Roman" w:eastAsia="楷体" w:cs="Times New Roman"/>
          <w:b/>
          <w:bCs/>
          <w:sz w:val="32"/>
          <w:szCs w:val="32"/>
          <w:lang w:val="en-US" w:eastAsia="zh-CN"/>
        </w:rPr>
        <w:t>四</w:t>
      </w:r>
      <w:r>
        <w:rPr>
          <w:rFonts w:ascii="Times New Roman" w:hAnsi="Times New Roman" w:eastAsia="楷体" w:cs="Times New Roman"/>
          <w:b/>
          <w:bCs/>
          <w:sz w:val="32"/>
          <w:szCs w:val="32"/>
        </w:rPr>
        <w:t>、价格形成过程</w:t>
      </w:r>
    </w:p>
    <w:p w14:paraId="6EBBE02A">
      <w:pPr>
        <w:widowControl/>
        <w:adjustRightInd w:val="0"/>
        <w:snapToGrid w:val="0"/>
        <w:spacing w:line="360" w:lineRule="auto"/>
        <w:ind w:firstLine="640" w:firstLineChars="200"/>
        <w:rPr>
          <w:rFonts w:ascii="Times New Roman" w:hAnsi="Times New Roman" w:eastAsia="楷体" w:cs="Times New Roman"/>
          <w:sz w:val="32"/>
          <w:szCs w:val="32"/>
        </w:rPr>
      </w:pPr>
      <w:r>
        <w:rPr>
          <w:rFonts w:ascii="Times New Roman" w:hAnsi="Times New Roman" w:eastAsia="楷体" w:cs="Times New Roman"/>
          <w:sz w:val="32"/>
          <w:szCs w:val="32"/>
        </w:rPr>
        <w:t>经专利发明人与出资方</w:t>
      </w:r>
      <w:r>
        <w:rPr>
          <w:rFonts w:hint="eastAsia" w:ascii="Times New Roman" w:hAnsi="Times New Roman" w:eastAsia="楷体" w:cs="Times New Roman"/>
          <w:sz w:val="32"/>
          <w:szCs w:val="32"/>
          <w:lang w:eastAsia="zh-CN"/>
        </w:rPr>
        <w:t>四川攀盈达科技</w:t>
      </w:r>
      <w:r>
        <w:rPr>
          <w:rFonts w:hint="eastAsia" w:ascii="Times New Roman" w:hAnsi="Times New Roman" w:eastAsia="楷体" w:cs="Times New Roman"/>
          <w:sz w:val="32"/>
          <w:szCs w:val="32"/>
        </w:rPr>
        <w:t>有限公司</w:t>
      </w:r>
      <w:r>
        <w:rPr>
          <w:rFonts w:ascii="Times New Roman" w:hAnsi="Times New Roman" w:eastAsia="楷体" w:cs="Times New Roman"/>
          <w:sz w:val="32"/>
          <w:szCs w:val="32"/>
        </w:rPr>
        <w:t>协商，</w:t>
      </w:r>
      <w:r>
        <w:rPr>
          <w:rFonts w:hint="eastAsia" w:ascii="Times New Roman" w:hAnsi="Times New Roman" w:eastAsia="楷体" w:cs="Times New Roman"/>
          <w:sz w:val="32"/>
          <w:szCs w:val="32"/>
          <w:lang w:val="en-US" w:eastAsia="zh-CN"/>
        </w:rPr>
        <w:t>并经过专利价值评估，</w:t>
      </w:r>
      <w:r>
        <w:rPr>
          <w:rFonts w:ascii="Times New Roman" w:hAnsi="Times New Roman" w:eastAsia="楷体" w:cs="Times New Roman"/>
          <w:sz w:val="32"/>
          <w:szCs w:val="32"/>
        </w:rPr>
        <w:t>双方同意</w:t>
      </w:r>
      <w:r>
        <w:rPr>
          <w:rFonts w:hint="eastAsia" w:ascii="Times New Roman" w:hAnsi="Times New Roman" w:eastAsia="楷体" w:cs="Times New Roman"/>
          <w:sz w:val="32"/>
          <w:szCs w:val="32"/>
          <w:lang w:val="en-US" w:eastAsia="zh-CN"/>
        </w:rPr>
        <w:t>上述</w:t>
      </w:r>
      <w:r>
        <w:rPr>
          <w:rFonts w:ascii="Times New Roman" w:hAnsi="Times New Roman" w:eastAsia="楷体" w:cs="Times New Roman"/>
          <w:sz w:val="32"/>
          <w:szCs w:val="32"/>
        </w:rPr>
        <w:t>成果以协议定价</w:t>
      </w:r>
      <w:r>
        <w:rPr>
          <w:rFonts w:hint="eastAsia" w:ascii="Times New Roman" w:hAnsi="Times New Roman" w:eastAsia="楷体" w:cs="Times New Roman"/>
          <w:sz w:val="32"/>
          <w:szCs w:val="32"/>
          <w:lang w:val="en-US" w:eastAsia="zh-CN"/>
        </w:rPr>
        <w:t>第1.2.4.5.6项成果为0.3万元/个，第3项0.32万元/个，共1.82</w:t>
      </w:r>
      <w:r>
        <w:rPr>
          <w:rFonts w:ascii="Times New Roman" w:hAnsi="Times New Roman" w:eastAsia="楷体" w:cs="Times New Roman"/>
          <w:sz w:val="32"/>
          <w:szCs w:val="32"/>
        </w:rPr>
        <w:t>万元转让费全国独家买断</w:t>
      </w:r>
      <w:r>
        <w:rPr>
          <w:rFonts w:hint="eastAsia" w:ascii="Times New Roman" w:hAnsi="Times New Roman" w:eastAsia="楷体" w:cs="Times New Roman"/>
          <w:sz w:val="32"/>
          <w:szCs w:val="32"/>
          <w:lang w:eastAsia="zh-CN"/>
        </w:rPr>
        <w:t>。</w:t>
      </w:r>
    </w:p>
    <w:p w14:paraId="11F25E6C">
      <w:pPr>
        <w:widowControl/>
        <w:adjustRightInd w:val="0"/>
        <w:snapToGrid w:val="0"/>
        <w:spacing w:line="360" w:lineRule="auto"/>
        <w:ind w:firstLine="640" w:firstLineChars="200"/>
        <w:rPr>
          <w:rFonts w:hint="eastAsia" w:ascii="Times New Roman" w:hAnsi="Times New Roman" w:eastAsia="楷体" w:cs="Times New Roman"/>
          <w:sz w:val="32"/>
          <w:szCs w:val="32"/>
          <w:lang w:eastAsia="zh-CN"/>
        </w:rPr>
      </w:pPr>
      <w:bookmarkStart w:id="0" w:name="_GoBack"/>
      <w:bookmarkEnd w:id="0"/>
    </w:p>
    <w:sectPr>
      <w:pgSz w:w="11906" w:h="16838"/>
      <w:pgMar w:top="1134" w:right="1134" w:bottom="1134" w:left="113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1"/>
  <w:bordersDoNotSurroundFooter w:val="1"/>
  <w:attachedTemplate r:id="rId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C1C6628"/>
    <w:rsid w:val="00094D1E"/>
    <w:rsid w:val="000C7373"/>
    <w:rsid w:val="00172EBA"/>
    <w:rsid w:val="00202DB7"/>
    <w:rsid w:val="00210CA2"/>
    <w:rsid w:val="002213DA"/>
    <w:rsid w:val="00300846"/>
    <w:rsid w:val="003B4AE5"/>
    <w:rsid w:val="005A017C"/>
    <w:rsid w:val="005A3906"/>
    <w:rsid w:val="007532A1"/>
    <w:rsid w:val="0083461A"/>
    <w:rsid w:val="008C42AD"/>
    <w:rsid w:val="00936B85"/>
    <w:rsid w:val="00A05418"/>
    <w:rsid w:val="00BD5FCC"/>
    <w:rsid w:val="00C32864"/>
    <w:rsid w:val="00C37068"/>
    <w:rsid w:val="00D1047F"/>
    <w:rsid w:val="00DA243F"/>
    <w:rsid w:val="00EE4A06"/>
    <w:rsid w:val="048C46B0"/>
    <w:rsid w:val="08901699"/>
    <w:rsid w:val="0C311C32"/>
    <w:rsid w:val="0FBD0C1A"/>
    <w:rsid w:val="18F60674"/>
    <w:rsid w:val="1CB03B7E"/>
    <w:rsid w:val="1DC35F95"/>
    <w:rsid w:val="22D57762"/>
    <w:rsid w:val="237629C1"/>
    <w:rsid w:val="23FD65A1"/>
    <w:rsid w:val="273A11CD"/>
    <w:rsid w:val="32C6336C"/>
    <w:rsid w:val="3B3D64E9"/>
    <w:rsid w:val="426C04E0"/>
    <w:rsid w:val="4B2B39B2"/>
    <w:rsid w:val="4D0C2367"/>
    <w:rsid w:val="512367DF"/>
    <w:rsid w:val="51CE76C7"/>
    <w:rsid w:val="529414C0"/>
    <w:rsid w:val="578F360F"/>
    <w:rsid w:val="5C0158F6"/>
    <w:rsid w:val="5E927606"/>
    <w:rsid w:val="690A59CE"/>
    <w:rsid w:val="6D535020"/>
    <w:rsid w:val="72B210AD"/>
    <w:rsid w:val="7A3C47DA"/>
    <w:rsid w:val="7C1C6628"/>
    <w:rsid w:val="7FCD7180"/>
    <w:rsid w:val="7FF1412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iPriority="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nhideWhenUsed="0" w:uiPriority="0" w:semiHidden="0" w:name="Table Web 3"/>
    <w:lsdException w:uiPriority="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Autospacing="1" w:afterAutospacing="1"/>
      <w:jc w:val="left"/>
      <w:outlineLvl w:val="2"/>
    </w:pPr>
    <w:rPr>
      <w:rFonts w:hint="eastAsia" w:ascii="宋体" w:hAnsi="宋体" w:eastAsia="宋体" w:cs="Times New Roman"/>
      <w:b/>
      <w:kern w:val="0"/>
      <w:sz w:val="27"/>
      <w:szCs w:val="27"/>
    </w:rPr>
  </w:style>
  <w:style w:type="character" w:default="1" w:styleId="6">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3">
    <w:name w:val="footer"/>
    <w:basedOn w:val="1"/>
    <w:link w:val="10"/>
    <w:qFormat/>
    <w:uiPriority w:val="0"/>
    <w:pPr>
      <w:tabs>
        <w:tab w:val="center" w:pos="4153"/>
        <w:tab w:val="right" w:pos="8306"/>
      </w:tabs>
      <w:snapToGrid w:val="0"/>
      <w:jc w:val="left"/>
    </w:pPr>
    <w:rPr>
      <w:sz w:val="18"/>
      <w:szCs w:val="18"/>
    </w:rPr>
  </w:style>
  <w:style w:type="paragraph" w:styleId="4">
    <w:name w:val="header"/>
    <w:basedOn w:val="1"/>
    <w:link w:val="9"/>
    <w:qFormat/>
    <w:uiPriority w:val="0"/>
    <w:pPr>
      <w:pBdr>
        <w:bottom w:val="single" w:color="auto" w:sz="6" w:space="1"/>
      </w:pBdr>
      <w:tabs>
        <w:tab w:val="center" w:pos="4153"/>
        <w:tab w:val="right" w:pos="8306"/>
      </w:tabs>
      <w:snapToGrid w:val="0"/>
      <w:jc w:val="center"/>
    </w:pPr>
    <w:rPr>
      <w:sz w:val="18"/>
      <w:szCs w:val="18"/>
    </w:rPr>
  </w:style>
  <w:style w:type="character" w:styleId="7">
    <w:name w:val="Strong"/>
    <w:basedOn w:val="6"/>
    <w:qFormat/>
    <w:uiPriority w:val="22"/>
    <w:rPr>
      <w:b/>
    </w:rPr>
  </w:style>
  <w:style w:type="character" w:styleId="8">
    <w:name w:val="Hyperlink"/>
    <w:basedOn w:val="6"/>
    <w:qFormat/>
    <w:uiPriority w:val="0"/>
    <w:rPr>
      <w:color w:val="0000FF"/>
      <w:u w:val="single"/>
    </w:rPr>
  </w:style>
  <w:style w:type="character" w:customStyle="1" w:styleId="9">
    <w:name w:val="页眉 字符"/>
    <w:basedOn w:val="6"/>
    <w:link w:val="4"/>
    <w:qFormat/>
    <w:uiPriority w:val="0"/>
    <w:rPr>
      <w:kern w:val="2"/>
      <w:sz w:val="18"/>
      <w:szCs w:val="18"/>
    </w:rPr>
  </w:style>
  <w:style w:type="character" w:customStyle="1" w:styleId="10">
    <w:name w:val="页脚 字符"/>
    <w:basedOn w:val="6"/>
    <w:link w:val="3"/>
    <w:qFormat/>
    <w:uiPriority w:val="0"/>
    <w:rPr>
      <w:kern w:val="2"/>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enovo\AppData\Roaming\Kingsoft\wps\addons\pool\win-i386\knewfileruby_1.0.0.10\template\wps\0.doc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0</Template>
  <Pages>2</Pages>
  <Words>1877</Words>
  <Characters>2047</Characters>
  <Lines>12</Lines>
  <Paragraphs>7</Paragraphs>
  <TotalTime>3</TotalTime>
  <ScaleCrop>false</ScaleCrop>
  <LinksUpToDate>false</LinksUpToDate>
  <CharactersWithSpaces>2062</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2018-06-20T06:39:00Z</dcterms:created>
  <dc:creator>Lenovo</dc:creator>
  <cp:lastModifiedBy>新</cp:lastModifiedBy>
  <dcterms:modified xsi:type="dcterms:W3CDTF">2025-11-27T08:34:17Z</dcterms:modified>
  <cp:revision>16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eyJoZGlkIjoiNjhmMDQyZWIyMjIyMjcwYjc0Y2QwZjUyMzU0ODY2MWUiLCJ1c2VySWQiOiI2NTM2ODM4OTAifQ==</vt:lpwstr>
  </property>
  <property fmtid="{D5CDD505-2E9C-101B-9397-08002B2CF9AE}" pid="4" name="ICV">
    <vt:lpwstr>3B9E5FCB90DC41B2AE715E705AD8DDBB_13</vt:lpwstr>
  </property>
</Properties>
</file>