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5DEF6">
      <w:pPr>
        <w:jc w:val="center"/>
        <w:rPr>
          <w:rFonts w:ascii="Times New Roman" w:hAnsi="Times New Roman" w:eastAsia="宋体" w:cs="Times New Roman"/>
          <w:b/>
          <w:sz w:val="28"/>
          <w:szCs w:val="28"/>
        </w:rPr>
      </w:pPr>
      <w:r>
        <w:rPr>
          <w:rFonts w:ascii="Times New Roman" w:hAnsi="Times New Roman" w:eastAsia="宋体" w:cs="Times New Roman"/>
          <w:b/>
          <w:sz w:val="28"/>
          <w:szCs w:val="28"/>
        </w:rPr>
        <w:t>地理与环境科学学院</w:t>
      </w:r>
    </w:p>
    <w:p w14:paraId="2C29DA06">
      <w:pPr>
        <w:jc w:val="center"/>
        <w:rPr>
          <w:rFonts w:ascii="Times New Roman" w:hAnsi="Times New Roman" w:eastAsia="宋体" w:cs="Times New Roman"/>
          <w:b/>
          <w:sz w:val="28"/>
          <w:szCs w:val="28"/>
        </w:rPr>
      </w:pPr>
      <w:r>
        <w:rPr>
          <w:rFonts w:ascii="Times New Roman" w:hAnsi="Times New Roman" w:eastAsia="宋体" w:cs="Times New Roman"/>
          <w:b/>
          <w:sz w:val="28"/>
          <w:szCs w:val="28"/>
        </w:rPr>
        <w:t>202</w:t>
      </w:r>
      <w:r>
        <w:rPr>
          <w:rFonts w:hint="eastAsia" w:ascii="Times New Roman" w:hAnsi="Times New Roman" w:eastAsia="宋体" w:cs="Times New Roman"/>
          <w:b/>
          <w:sz w:val="28"/>
          <w:szCs w:val="28"/>
        </w:rPr>
        <w:t>5</w:t>
      </w:r>
      <w:r>
        <w:rPr>
          <w:rFonts w:ascii="Times New Roman" w:hAnsi="Times New Roman" w:eastAsia="宋体" w:cs="Times New Roman"/>
          <w:b/>
          <w:sz w:val="28"/>
          <w:szCs w:val="28"/>
        </w:rPr>
        <w:t>届硕士学位毕业论文答辩安排</w:t>
      </w:r>
    </w:p>
    <w:p w14:paraId="142C3EFA">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专业（方向）名称：地理学（人文地理学、地图学与地理信息科学）</w:t>
      </w:r>
    </w:p>
    <w:p w14:paraId="5CA90756">
      <w:pPr>
        <w:spacing w:line="360" w:lineRule="auto"/>
        <w:jc w:val="left"/>
        <w:rPr>
          <w:rFonts w:ascii="宋体" w:hAnsi="宋体" w:eastAsia="宋体" w:cs="宋体"/>
          <w:szCs w:val="21"/>
        </w:rPr>
      </w:pPr>
      <w:r>
        <w:rPr>
          <w:rFonts w:hint="eastAsia" w:ascii="Times New Roman" w:hAnsi="Times New Roman" w:eastAsia="宋体" w:cs="Times New Roman"/>
          <w:b/>
          <w:sz w:val="24"/>
          <w:szCs w:val="24"/>
        </w:rPr>
        <w:t>答辩委员会主席：王  成  教  授    西  南  大 学</w:t>
      </w:r>
    </w:p>
    <w:p w14:paraId="3C012A35">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答辩委员会成员：程叶青  教  授    海南师范大学</w:t>
      </w:r>
    </w:p>
    <w:p w14:paraId="0647B9E2">
      <w:pPr>
        <w:spacing w:line="360" w:lineRule="auto"/>
        <w:ind w:firstLine="1928" w:firstLineChars="800"/>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邱彭华  教  授    海南师范大学</w:t>
      </w:r>
    </w:p>
    <w:p w14:paraId="158902E1">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 xml:space="preserve">               </w:t>
      </w:r>
      <w:bookmarkStart w:id="0" w:name="OLE_LINK1"/>
      <w:r>
        <w:rPr>
          <w:rFonts w:hint="eastAsia" w:ascii="Times New Roman" w:hAnsi="Times New Roman" w:eastAsia="宋体" w:cs="Times New Roman"/>
          <w:b/>
          <w:sz w:val="24"/>
          <w:szCs w:val="24"/>
        </w:rPr>
        <w:t xml:space="preserve"> 杜文星  教  授    海南师范大学</w:t>
      </w:r>
      <w:bookmarkEnd w:id="0"/>
    </w:p>
    <w:p w14:paraId="55CC2B35">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 xml:space="preserve">                张金萍  教  授    海南师范大学</w:t>
      </w:r>
    </w:p>
    <w:p w14:paraId="4BD43D2D">
      <w:pPr>
        <w:spacing w:line="360" w:lineRule="auto"/>
        <w:ind w:firstLine="1928" w:firstLineChars="800"/>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韩  奇  副教授    海南师范大学</w:t>
      </w:r>
    </w:p>
    <w:p w14:paraId="65AF0422">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答辩时间： 2025年5月20日   下午14:00-18:30</w:t>
      </w:r>
    </w:p>
    <w:p w14:paraId="109D2A08">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答辩地点：海南师范大学桂林洋校区地理与环境科学学院会议室</w:t>
      </w:r>
    </w:p>
    <w:p w14:paraId="2A7EA436">
      <w:pPr>
        <w:spacing w:line="360" w:lineRule="auto"/>
        <w:jc w:val="left"/>
        <w:rPr>
          <w:rFonts w:hint="eastAsia" w:ascii="Times New Roman" w:hAnsi="Times New Roman" w:eastAsia="宋体" w:cs="Times New Roman"/>
          <w:b/>
          <w:sz w:val="24"/>
          <w:szCs w:val="24"/>
          <w:highlight w:val="none"/>
          <w:lang w:val="en-US" w:eastAsia="zh-CN"/>
        </w:rPr>
      </w:pPr>
      <w:r>
        <w:rPr>
          <w:rFonts w:ascii="Times New Roman" w:hAnsi="Times New Roman" w:eastAsia="宋体" w:cs="Times New Roman"/>
          <w:b/>
          <w:sz w:val="24"/>
          <w:szCs w:val="24"/>
        </w:rPr>
        <w:t>腾讯会议号</w:t>
      </w:r>
      <w:r>
        <w:rPr>
          <w:rFonts w:hint="eastAsia" w:ascii="Times New Roman" w:hAnsi="Times New Roman" w:eastAsia="宋体" w:cs="Times New Roman"/>
          <w:b/>
          <w:sz w:val="24"/>
          <w:szCs w:val="24"/>
        </w:rPr>
        <w:t>：</w:t>
      </w:r>
      <w:r>
        <w:rPr>
          <w:rFonts w:hint="eastAsia" w:ascii="Times New Roman" w:hAnsi="Times New Roman" w:eastAsia="宋体" w:cs="Times New Roman"/>
          <w:b/>
          <w:sz w:val="24"/>
          <w:szCs w:val="24"/>
          <w:highlight w:val="none"/>
          <w:lang w:val="en-US" w:eastAsia="zh-CN"/>
        </w:rPr>
        <w:t>200986522</w:t>
      </w:r>
    </w:p>
    <w:p w14:paraId="54ABF290">
      <w:pPr>
        <w:spacing w:line="360" w:lineRule="auto"/>
        <w:jc w:val="left"/>
        <w:rPr>
          <w:rFonts w:hint="default" w:ascii="Times New Roman" w:hAnsi="Times New Roman" w:eastAsia="宋体" w:cs="Times New Roman"/>
          <w:b/>
          <w:sz w:val="24"/>
          <w:szCs w:val="24"/>
          <w:highlight w:val="none"/>
          <w:lang w:val="en-US" w:eastAsia="zh-CN"/>
        </w:rPr>
      </w:pPr>
      <w:bookmarkStart w:id="8" w:name="_GoBack"/>
      <w:bookmarkEnd w:id="8"/>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701"/>
        <w:gridCol w:w="4820"/>
        <w:gridCol w:w="1184"/>
      </w:tblGrid>
      <w:tr w14:paraId="1771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17" w:type="dxa"/>
            <w:vAlign w:val="center"/>
          </w:tcPr>
          <w:p w14:paraId="184E77D8">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序号</w:t>
            </w:r>
          </w:p>
        </w:tc>
        <w:tc>
          <w:tcPr>
            <w:tcW w:w="1701" w:type="dxa"/>
            <w:vAlign w:val="center"/>
          </w:tcPr>
          <w:p w14:paraId="532E0DA1">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姓名</w:t>
            </w:r>
          </w:p>
        </w:tc>
        <w:tc>
          <w:tcPr>
            <w:tcW w:w="4820" w:type="dxa"/>
            <w:vAlign w:val="center"/>
          </w:tcPr>
          <w:p w14:paraId="2CCB1C6A">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论文题目</w:t>
            </w:r>
          </w:p>
        </w:tc>
        <w:tc>
          <w:tcPr>
            <w:tcW w:w="1184" w:type="dxa"/>
            <w:vAlign w:val="center"/>
          </w:tcPr>
          <w:p w14:paraId="5A15FE13">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指导教师</w:t>
            </w:r>
          </w:p>
        </w:tc>
      </w:tr>
      <w:tr w14:paraId="7EE8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223BFC8B">
            <w:pPr>
              <w:adjustRightInd w:val="0"/>
              <w:snapToGrid w:val="0"/>
              <w:jc w:val="center"/>
              <w:rPr>
                <w:rFonts w:ascii="Times New Roman" w:hAnsi="Times New Roman" w:eastAsia="宋体" w:cs="Times New Roman"/>
                <w:b/>
                <w:sz w:val="24"/>
                <w:szCs w:val="24"/>
              </w:rPr>
            </w:pPr>
            <w:bookmarkStart w:id="1" w:name="_Hlk198295992"/>
            <w:r>
              <w:rPr>
                <w:rFonts w:hint="eastAsia" w:ascii="Times New Roman" w:hAnsi="Times New Roman" w:eastAsia="宋体" w:cs="Times New Roman"/>
                <w:b/>
                <w:sz w:val="24"/>
                <w:szCs w:val="24"/>
              </w:rPr>
              <w:t>1</w:t>
            </w:r>
          </w:p>
        </w:tc>
        <w:tc>
          <w:tcPr>
            <w:tcW w:w="1701" w:type="dxa"/>
            <w:vAlign w:val="center"/>
          </w:tcPr>
          <w:p w14:paraId="00A3C24A">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金世纪</w:t>
            </w:r>
          </w:p>
        </w:tc>
        <w:tc>
          <w:tcPr>
            <w:tcW w:w="4820" w:type="dxa"/>
            <w:vAlign w:val="center"/>
          </w:tcPr>
          <w:p w14:paraId="1D4C21A3">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产业视角下滨海渔村分类及其影响因素分析</w:t>
            </w:r>
            <w:bookmarkStart w:id="2" w:name="OLE_LINK2"/>
            <w:r>
              <w:rPr>
                <w:rFonts w:hint="eastAsia" w:ascii="Times New Roman" w:hAnsi="Times New Roman" w:eastAsia="宋体" w:cs="Times New Roman"/>
                <w:b/>
                <w:sz w:val="24"/>
                <w:szCs w:val="24"/>
              </w:rPr>
              <w:t>——</w:t>
            </w:r>
            <w:bookmarkEnd w:id="2"/>
            <w:r>
              <w:rPr>
                <w:rFonts w:hint="eastAsia" w:ascii="Times New Roman" w:hAnsi="Times New Roman" w:eastAsia="宋体" w:cs="Times New Roman"/>
                <w:b/>
                <w:sz w:val="24"/>
                <w:szCs w:val="24"/>
              </w:rPr>
              <w:t>以海南岛为例</w:t>
            </w:r>
          </w:p>
        </w:tc>
        <w:tc>
          <w:tcPr>
            <w:tcW w:w="1184" w:type="dxa"/>
            <w:vAlign w:val="center"/>
          </w:tcPr>
          <w:p w14:paraId="0AA20631">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程叶青</w:t>
            </w:r>
          </w:p>
        </w:tc>
      </w:tr>
      <w:tr w14:paraId="4ED5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04153769">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2</w:t>
            </w:r>
          </w:p>
        </w:tc>
        <w:tc>
          <w:tcPr>
            <w:tcW w:w="1701" w:type="dxa"/>
            <w:vAlign w:val="center"/>
          </w:tcPr>
          <w:p w14:paraId="4C9A1FB7">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孔熙平</w:t>
            </w:r>
          </w:p>
        </w:tc>
        <w:tc>
          <w:tcPr>
            <w:tcW w:w="4820" w:type="dxa"/>
            <w:vAlign w:val="center"/>
          </w:tcPr>
          <w:p w14:paraId="47D0E90E">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空间正义视角下传统渔村生产空间演变及非正义问题</w:t>
            </w:r>
            <w:bookmarkStart w:id="3" w:name="OLE_LINK5"/>
            <w:r>
              <w:rPr>
                <w:rFonts w:hint="eastAsia" w:ascii="Times New Roman" w:hAnsi="Times New Roman" w:eastAsia="宋体" w:cs="Times New Roman"/>
                <w:b/>
                <w:sz w:val="24"/>
                <w:szCs w:val="24"/>
              </w:rPr>
              <w:t>——</w:t>
            </w:r>
            <w:bookmarkEnd w:id="3"/>
            <w:r>
              <w:rPr>
                <w:rFonts w:hint="eastAsia" w:ascii="Times New Roman" w:hAnsi="Times New Roman" w:eastAsia="宋体" w:cs="Times New Roman"/>
                <w:b/>
                <w:sz w:val="24"/>
                <w:szCs w:val="24"/>
              </w:rPr>
              <w:t>以陵水疍家渔村为例</w:t>
            </w:r>
          </w:p>
        </w:tc>
        <w:tc>
          <w:tcPr>
            <w:tcW w:w="1184" w:type="dxa"/>
            <w:vAlign w:val="center"/>
          </w:tcPr>
          <w:p w14:paraId="367842E5">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张金萍</w:t>
            </w:r>
          </w:p>
        </w:tc>
      </w:tr>
      <w:tr w14:paraId="49AF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081010CE">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3</w:t>
            </w:r>
          </w:p>
        </w:tc>
        <w:tc>
          <w:tcPr>
            <w:tcW w:w="1701" w:type="dxa"/>
            <w:vAlign w:val="center"/>
          </w:tcPr>
          <w:p w14:paraId="7B888B39">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孔云洁</w:t>
            </w:r>
          </w:p>
        </w:tc>
        <w:tc>
          <w:tcPr>
            <w:tcW w:w="4820" w:type="dxa"/>
            <w:vAlign w:val="center"/>
          </w:tcPr>
          <w:p w14:paraId="2523A0E3">
            <w:pPr>
              <w:widowControl/>
              <w:adjustRightInd w:val="0"/>
              <w:snapToGrid w:val="0"/>
              <w:jc w:val="center"/>
              <w:rPr>
                <w:rFonts w:ascii="Times New Roman" w:hAnsi="Times New Roman" w:eastAsia="宋体" w:cs="Times New Roman"/>
                <w:b/>
                <w:sz w:val="24"/>
                <w:szCs w:val="24"/>
              </w:rPr>
            </w:pPr>
            <w:bookmarkStart w:id="4" w:name="OLE_LINK6"/>
            <w:bookmarkStart w:id="5" w:name="OLE_LINK7"/>
            <w:r>
              <w:rPr>
                <w:rFonts w:hint="eastAsia" w:ascii="Times New Roman" w:hAnsi="Times New Roman" w:eastAsia="宋体" w:cs="Times New Roman"/>
                <w:b/>
                <w:sz w:val="24"/>
                <w:szCs w:val="24"/>
              </w:rPr>
              <w:t>文化旅游视角下海南岛传统村落空间分布特征与影响因素研究</w:t>
            </w:r>
            <w:bookmarkEnd w:id="4"/>
            <w:bookmarkEnd w:id="5"/>
          </w:p>
        </w:tc>
        <w:tc>
          <w:tcPr>
            <w:tcW w:w="1184" w:type="dxa"/>
            <w:vAlign w:val="center"/>
          </w:tcPr>
          <w:p w14:paraId="33E6E221">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李敏纳</w:t>
            </w:r>
          </w:p>
        </w:tc>
      </w:tr>
      <w:tr w14:paraId="698B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7570A711">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4</w:t>
            </w:r>
          </w:p>
        </w:tc>
        <w:tc>
          <w:tcPr>
            <w:tcW w:w="1701" w:type="dxa"/>
            <w:vAlign w:val="center"/>
          </w:tcPr>
          <w:p w14:paraId="2EA6A7BC">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李坤</w:t>
            </w:r>
          </w:p>
        </w:tc>
        <w:tc>
          <w:tcPr>
            <w:tcW w:w="4820" w:type="dxa"/>
            <w:vAlign w:val="center"/>
          </w:tcPr>
          <w:p w14:paraId="5D1FF069">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海南热带雨林国家公园生态系统服务价值空间格局演变及其驱动因素分析</w:t>
            </w:r>
          </w:p>
        </w:tc>
        <w:tc>
          <w:tcPr>
            <w:tcW w:w="1184" w:type="dxa"/>
            <w:vAlign w:val="center"/>
          </w:tcPr>
          <w:p w14:paraId="55F17E59">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李敏纳</w:t>
            </w:r>
          </w:p>
        </w:tc>
      </w:tr>
      <w:tr w14:paraId="3199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580DE006">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5</w:t>
            </w:r>
          </w:p>
        </w:tc>
        <w:tc>
          <w:tcPr>
            <w:tcW w:w="1701" w:type="dxa"/>
            <w:vAlign w:val="center"/>
          </w:tcPr>
          <w:p w14:paraId="0E6CF03B">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罗柳莎</w:t>
            </w:r>
          </w:p>
        </w:tc>
        <w:tc>
          <w:tcPr>
            <w:tcW w:w="4820" w:type="dxa"/>
            <w:vAlign w:val="center"/>
          </w:tcPr>
          <w:p w14:paraId="6CD3152B">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传统村落旅游意象对目的地依恋的影响研究——以陵水疍家渔村为例</w:t>
            </w:r>
          </w:p>
        </w:tc>
        <w:tc>
          <w:tcPr>
            <w:tcW w:w="1184" w:type="dxa"/>
            <w:vAlign w:val="center"/>
          </w:tcPr>
          <w:p w14:paraId="5AF7436E">
            <w:pPr>
              <w:adjustRightInd w:val="0"/>
              <w:snapToGrid w:val="0"/>
              <w:jc w:val="center"/>
              <w:rPr>
                <w:rFonts w:ascii="Times New Roman" w:hAnsi="Times New Roman" w:eastAsia="宋体" w:cs="Times New Roman"/>
                <w:b/>
                <w:sz w:val="24"/>
                <w:szCs w:val="24"/>
              </w:rPr>
            </w:pPr>
            <w:bookmarkStart w:id="6" w:name="OLE_LINK4"/>
            <w:bookmarkStart w:id="7" w:name="OLE_LINK3"/>
            <w:r>
              <w:rPr>
                <w:rFonts w:hint="eastAsia" w:ascii="Times New Roman" w:hAnsi="Times New Roman" w:eastAsia="宋体" w:cs="Times New Roman"/>
                <w:b/>
                <w:sz w:val="24"/>
                <w:szCs w:val="24"/>
              </w:rPr>
              <w:t>程叶青</w:t>
            </w:r>
            <w:bookmarkEnd w:id="6"/>
            <w:bookmarkEnd w:id="7"/>
          </w:p>
        </w:tc>
      </w:tr>
      <w:tr w14:paraId="2260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27C99CF5">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6</w:t>
            </w:r>
          </w:p>
        </w:tc>
        <w:tc>
          <w:tcPr>
            <w:tcW w:w="1701" w:type="dxa"/>
            <w:vAlign w:val="center"/>
          </w:tcPr>
          <w:p w14:paraId="5DBE70DF">
            <w:pPr>
              <w:adjustRightInd w:val="0"/>
              <w:snapToGrid w:val="0"/>
              <w:jc w:val="center"/>
              <w:rPr>
                <w:rFonts w:ascii="Times New Roman" w:hAnsi="Times New Roman" w:eastAsia="宋体" w:cs="Times New Roman"/>
                <w:b/>
                <w:szCs w:val="21"/>
              </w:rPr>
            </w:pPr>
            <w:r>
              <w:rPr>
                <w:rFonts w:hint="eastAsia" w:ascii="Times New Roman" w:hAnsi="Times New Roman" w:eastAsia="宋体" w:cs="Times New Roman"/>
                <w:b/>
                <w:szCs w:val="21"/>
              </w:rPr>
              <w:t>齐曼古丽·艾曼</w:t>
            </w:r>
          </w:p>
        </w:tc>
        <w:tc>
          <w:tcPr>
            <w:tcW w:w="4820" w:type="dxa"/>
            <w:vAlign w:val="center"/>
          </w:tcPr>
          <w:p w14:paraId="499D58A1">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国土空间规划视角下海南土地利用功 能转型过程、机制与生态效应研究</w:t>
            </w:r>
          </w:p>
        </w:tc>
        <w:tc>
          <w:tcPr>
            <w:tcW w:w="1184" w:type="dxa"/>
            <w:vAlign w:val="center"/>
          </w:tcPr>
          <w:p w14:paraId="4D3D728D">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杜文星</w:t>
            </w:r>
          </w:p>
        </w:tc>
      </w:tr>
      <w:tr w14:paraId="7E7C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680896C0">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7</w:t>
            </w:r>
          </w:p>
        </w:tc>
        <w:tc>
          <w:tcPr>
            <w:tcW w:w="1701" w:type="dxa"/>
            <w:vAlign w:val="center"/>
          </w:tcPr>
          <w:p w14:paraId="7B86D2D4">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赵海波</w:t>
            </w:r>
          </w:p>
        </w:tc>
        <w:tc>
          <w:tcPr>
            <w:tcW w:w="4820" w:type="dxa"/>
            <w:vAlign w:val="center"/>
          </w:tcPr>
          <w:p w14:paraId="50CB39AE">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热带雨林国家公园生态搬迁对移民生计的影响研究——以白沙新高峰村为例</w:t>
            </w:r>
          </w:p>
        </w:tc>
        <w:tc>
          <w:tcPr>
            <w:tcW w:w="1184" w:type="dxa"/>
            <w:vAlign w:val="center"/>
          </w:tcPr>
          <w:p w14:paraId="0D7CC9C1">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程叶青</w:t>
            </w:r>
          </w:p>
        </w:tc>
      </w:tr>
      <w:tr w14:paraId="63C8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7" w:type="dxa"/>
            <w:vAlign w:val="center"/>
          </w:tcPr>
          <w:p w14:paraId="473AA69E">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8</w:t>
            </w:r>
          </w:p>
        </w:tc>
        <w:tc>
          <w:tcPr>
            <w:tcW w:w="1701" w:type="dxa"/>
            <w:vAlign w:val="center"/>
          </w:tcPr>
          <w:p w14:paraId="238B3125">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刘益珠</w:t>
            </w:r>
          </w:p>
        </w:tc>
        <w:tc>
          <w:tcPr>
            <w:tcW w:w="4820" w:type="dxa"/>
            <w:vAlign w:val="center"/>
          </w:tcPr>
          <w:p w14:paraId="2D25B936">
            <w:pPr>
              <w:widowControl/>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退休移民社会融入水平及其影响因素——以三亚市为例</w:t>
            </w:r>
          </w:p>
        </w:tc>
        <w:tc>
          <w:tcPr>
            <w:tcW w:w="1184" w:type="dxa"/>
            <w:vAlign w:val="center"/>
          </w:tcPr>
          <w:p w14:paraId="359A79ED">
            <w:pPr>
              <w:adjustRightInd w:val="0"/>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张金萍</w:t>
            </w:r>
          </w:p>
        </w:tc>
      </w:tr>
      <w:bookmarkEnd w:id="1"/>
    </w:tbl>
    <w:p w14:paraId="22E32C75">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答辩程序：</w:t>
      </w:r>
    </w:p>
    <w:p w14:paraId="021769AE">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(一) 答辩开始前由程叶青副院长介绍答辩委员会主席及成员，并对答辩会作简要说明。</w:t>
      </w:r>
    </w:p>
    <w:p w14:paraId="4F278F5D">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(二) 答辩委员会主席主持论文答辩。</w:t>
      </w:r>
    </w:p>
    <w:p w14:paraId="7AB188E6">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(三) 答辩委员会秘书介绍申请人资格审查情况。</w:t>
      </w:r>
    </w:p>
    <w:p w14:paraId="52158DFC">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(四) 答辩人报告学位论文主要情况，重点报告论文主要观点、主要研究过程和方法、创新之处和存在的问题以及其他需要补充说明的内容。硕士学位论文陈述报告时间10-15 分钟。答辩人在报告论文内容时，其他人员要注意答辩纪律，不要大声喧哗，把手机关机或者调到静音状态。</w:t>
      </w:r>
    </w:p>
    <w:p w14:paraId="6507D22E">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(五) 答辩委员会提问，答辩人回答提问。答辩委员会着重与答辩人共同探讨问题，避免泛泛评论。现场旁听者可就论文提问，参与答辩。答辩委员会重点考察答辩人回答所提问题的科学性、准确性。硕士不少于10分 钟。</w:t>
      </w:r>
    </w:p>
    <w:p w14:paraId="174EA3E9">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(六) 申请人和旁听人员退席。答辩委员会举行单独会议，就学位申请人是否通过论文答辩投票表决并形成决议，决议经全体委员三分之二及以上同意为通过。主要议程和内容为：</w:t>
      </w:r>
    </w:p>
    <w:p w14:paraId="4AF3D3A7">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1.导师介绍答辩人简历、执行培养计划、从事科学研究、论文写作及论文主要学术价值等基本情况。</w:t>
      </w:r>
    </w:p>
    <w:p w14:paraId="1703F127">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2.在对答辩情况充分交换意见的基础上，答辩委员会应根据学位论文的评价项目和评价要素，以无记名方式对论文本身及答辩情况作出评价并给与相应成绩，在去掉最高分和最低分后算出平均分 (按四舍五入保留小数点后1位) ，即为该学位论文的答辩成绩，并由答辩成绩确定对应等级。</w:t>
      </w:r>
    </w:p>
    <w:tbl>
      <w:tblPr>
        <w:tblStyle w:val="9"/>
        <w:tblW w:w="90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3"/>
        <w:gridCol w:w="1709"/>
        <w:gridCol w:w="5282"/>
      </w:tblGrid>
      <w:tr w14:paraId="0A3F7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2013" w:type="dxa"/>
          </w:tcPr>
          <w:p w14:paraId="2C870377">
            <w:pPr>
              <w:widowControl/>
              <w:kinsoku w:val="0"/>
              <w:autoSpaceDE w:val="0"/>
              <w:autoSpaceDN w:val="0"/>
              <w:adjustRightInd w:val="0"/>
              <w:snapToGrid w:val="0"/>
              <w:spacing w:before="156" w:line="229" w:lineRule="auto"/>
              <w:ind w:left="382"/>
              <w:jc w:val="center"/>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7"/>
                <w:kern w:val="0"/>
                <w:szCs w:val="21"/>
                <w14:textOutline w14:w="5791" w14:cap="sq" w14:cmpd="sng" w14:algn="ctr">
                  <w14:solidFill>
                    <w14:srgbClr w14:val="000000"/>
                  </w14:solidFill>
                  <w14:prstDash w14:val="solid"/>
                  <w14:bevel/>
                </w14:textOutline>
              </w:rPr>
              <w:t>答</w:t>
            </w:r>
            <w:r>
              <w:rPr>
                <w:rFonts w:ascii="Times New Roman" w:hAnsi="Times New Roman" w:eastAsia="宋体" w:cs="Times New Roman"/>
                <w:snapToGrid w:val="0"/>
                <w:color w:val="000000"/>
                <w:spacing w:val="5"/>
                <w:kern w:val="0"/>
                <w:szCs w:val="21"/>
                <w14:textOutline w14:w="5791" w14:cap="sq" w14:cmpd="sng" w14:algn="ctr">
                  <w14:solidFill>
                    <w14:srgbClr w14:val="000000"/>
                  </w14:solidFill>
                  <w14:prstDash w14:val="solid"/>
                  <w14:bevel/>
                </w14:textOutline>
              </w:rPr>
              <w:t>辩成绩</w:t>
            </w:r>
          </w:p>
        </w:tc>
        <w:tc>
          <w:tcPr>
            <w:tcW w:w="1709" w:type="dxa"/>
          </w:tcPr>
          <w:p w14:paraId="2C1C4F8F">
            <w:pPr>
              <w:widowControl/>
              <w:kinsoku w:val="0"/>
              <w:autoSpaceDE w:val="0"/>
              <w:autoSpaceDN w:val="0"/>
              <w:adjustRightInd w:val="0"/>
              <w:snapToGrid w:val="0"/>
              <w:spacing w:before="158" w:line="229" w:lineRule="auto"/>
              <w:ind w:left="232"/>
              <w:jc w:val="center"/>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5"/>
                <w:kern w:val="0"/>
                <w:szCs w:val="21"/>
                <w14:textOutline w14:w="5791" w14:cap="sq" w14:cmpd="sng" w14:algn="ctr">
                  <w14:solidFill>
                    <w14:srgbClr w14:val="000000"/>
                  </w14:solidFill>
                  <w14:prstDash w14:val="solid"/>
                  <w14:bevel/>
                </w14:textOutline>
              </w:rPr>
              <w:t>对应等级</w:t>
            </w:r>
          </w:p>
        </w:tc>
        <w:tc>
          <w:tcPr>
            <w:tcW w:w="5282" w:type="dxa"/>
          </w:tcPr>
          <w:p w14:paraId="7CF77DD7">
            <w:pPr>
              <w:widowControl/>
              <w:kinsoku w:val="0"/>
              <w:autoSpaceDE w:val="0"/>
              <w:autoSpaceDN w:val="0"/>
              <w:adjustRightInd w:val="0"/>
              <w:snapToGrid w:val="0"/>
              <w:spacing w:before="158" w:line="229" w:lineRule="auto"/>
              <w:jc w:val="center"/>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6"/>
                <w:kern w:val="0"/>
                <w:szCs w:val="21"/>
                <w14:textOutline w14:w="5791" w14:cap="sq" w14:cmpd="sng" w14:algn="ctr">
                  <w14:solidFill>
                    <w14:srgbClr w14:val="000000"/>
                  </w14:solidFill>
                  <w14:prstDash w14:val="solid"/>
                  <w14:bevel/>
                </w14:textOutline>
              </w:rPr>
              <w:t>结</w:t>
            </w:r>
            <w:r>
              <w:rPr>
                <w:rFonts w:ascii="Times New Roman" w:hAnsi="Times New Roman" w:eastAsia="宋体" w:cs="Times New Roman"/>
                <w:snapToGrid w:val="0"/>
                <w:color w:val="000000"/>
                <w:spacing w:val="4"/>
                <w:kern w:val="0"/>
                <w:szCs w:val="21"/>
              </w:rPr>
              <w:t xml:space="preserve">  </w:t>
            </w:r>
            <w:r>
              <w:rPr>
                <w:rFonts w:ascii="Times New Roman" w:hAnsi="Times New Roman" w:eastAsia="宋体" w:cs="Times New Roman"/>
                <w:snapToGrid w:val="0"/>
                <w:color w:val="000000"/>
                <w:spacing w:val="4"/>
                <w:kern w:val="0"/>
                <w:szCs w:val="21"/>
                <w14:textOutline w14:w="5791" w14:cap="sq" w14:cmpd="sng" w14:algn="ctr">
                  <w14:solidFill>
                    <w14:srgbClr w14:val="000000"/>
                  </w14:solidFill>
                  <w14:prstDash w14:val="solid"/>
                  <w14:bevel/>
                </w14:textOutline>
              </w:rPr>
              <w:t>论</w:t>
            </w:r>
          </w:p>
        </w:tc>
      </w:tr>
      <w:tr w14:paraId="4E0D9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2013" w:type="dxa"/>
          </w:tcPr>
          <w:p w14:paraId="006E1BD5">
            <w:pPr>
              <w:widowControl/>
              <w:kinsoku w:val="0"/>
              <w:autoSpaceDE w:val="0"/>
              <w:autoSpaceDN w:val="0"/>
              <w:adjustRightInd w:val="0"/>
              <w:snapToGrid w:val="0"/>
              <w:spacing w:before="156" w:line="229" w:lineRule="auto"/>
              <w:jc w:val="center"/>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9"/>
                <w:kern w:val="0"/>
                <w:szCs w:val="21"/>
              </w:rPr>
              <w:t>9</w:t>
            </w:r>
            <w:r>
              <w:rPr>
                <w:rFonts w:ascii="Times New Roman" w:hAnsi="Times New Roman" w:eastAsia="宋体" w:cs="Times New Roman"/>
                <w:snapToGrid w:val="0"/>
                <w:color w:val="000000"/>
                <w:spacing w:val="6"/>
                <w:kern w:val="0"/>
                <w:szCs w:val="21"/>
              </w:rPr>
              <w:t>0－100 分</w:t>
            </w:r>
          </w:p>
        </w:tc>
        <w:tc>
          <w:tcPr>
            <w:tcW w:w="1709" w:type="dxa"/>
          </w:tcPr>
          <w:p w14:paraId="2713742C">
            <w:pPr>
              <w:widowControl/>
              <w:kinsoku w:val="0"/>
              <w:autoSpaceDE w:val="0"/>
              <w:autoSpaceDN w:val="0"/>
              <w:adjustRightInd w:val="0"/>
              <w:snapToGrid w:val="0"/>
              <w:spacing w:before="209" w:line="185" w:lineRule="auto"/>
              <w:ind w:left="773"/>
              <w:jc w:val="left"/>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3"/>
                <w:kern w:val="0"/>
                <w:szCs w:val="21"/>
              </w:rPr>
              <w:t>A</w:t>
            </w:r>
          </w:p>
        </w:tc>
        <w:tc>
          <w:tcPr>
            <w:tcW w:w="5282" w:type="dxa"/>
          </w:tcPr>
          <w:p w14:paraId="11C09480">
            <w:pPr>
              <w:widowControl/>
              <w:kinsoku w:val="0"/>
              <w:autoSpaceDE w:val="0"/>
              <w:autoSpaceDN w:val="0"/>
              <w:adjustRightInd w:val="0"/>
              <w:snapToGrid w:val="0"/>
              <w:spacing w:before="155" w:line="228" w:lineRule="auto"/>
              <w:ind w:left="126"/>
              <w:jc w:val="left"/>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7"/>
                <w:kern w:val="0"/>
                <w:szCs w:val="21"/>
              </w:rPr>
              <w:t>答</w:t>
            </w:r>
            <w:r>
              <w:rPr>
                <w:rFonts w:ascii="Times New Roman" w:hAnsi="Times New Roman" w:eastAsia="宋体" w:cs="Times New Roman"/>
                <w:snapToGrid w:val="0"/>
                <w:color w:val="000000"/>
                <w:spacing w:val="5"/>
                <w:kern w:val="0"/>
                <w:szCs w:val="21"/>
              </w:rPr>
              <w:t>辩优秀、准予毕业并建议授予学位</w:t>
            </w:r>
          </w:p>
        </w:tc>
      </w:tr>
      <w:tr w14:paraId="4BFB7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2013" w:type="dxa"/>
          </w:tcPr>
          <w:p w14:paraId="60B2AE22">
            <w:pPr>
              <w:widowControl/>
              <w:kinsoku w:val="0"/>
              <w:autoSpaceDE w:val="0"/>
              <w:autoSpaceDN w:val="0"/>
              <w:adjustRightInd w:val="0"/>
              <w:snapToGrid w:val="0"/>
              <w:spacing w:before="156" w:line="229" w:lineRule="auto"/>
              <w:jc w:val="center"/>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8"/>
                <w:kern w:val="0"/>
                <w:szCs w:val="21"/>
              </w:rPr>
              <w:t>7</w:t>
            </w:r>
            <w:r>
              <w:rPr>
                <w:rFonts w:ascii="Times New Roman" w:hAnsi="Times New Roman" w:eastAsia="宋体" w:cs="Times New Roman"/>
                <w:snapToGrid w:val="0"/>
                <w:color w:val="000000"/>
                <w:spacing w:val="-6"/>
                <w:kern w:val="0"/>
                <w:szCs w:val="21"/>
              </w:rPr>
              <w:t>5-89 分</w:t>
            </w:r>
          </w:p>
        </w:tc>
        <w:tc>
          <w:tcPr>
            <w:tcW w:w="1709" w:type="dxa"/>
          </w:tcPr>
          <w:p w14:paraId="1AF7509A">
            <w:pPr>
              <w:widowControl/>
              <w:kinsoku w:val="0"/>
              <w:autoSpaceDE w:val="0"/>
              <w:autoSpaceDN w:val="0"/>
              <w:adjustRightInd w:val="0"/>
              <w:snapToGrid w:val="0"/>
              <w:spacing w:before="214" w:line="182" w:lineRule="auto"/>
              <w:ind w:left="776"/>
              <w:jc w:val="left"/>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kern w:val="0"/>
                <w:szCs w:val="21"/>
              </w:rPr>
              <w:t>B</w:t>
            </w:r>
          </w:p>
        </w:tc>
        <w:tc>
          <w:tcPr>
            <w:tcW w:w="5282" w:type="dxa"/>
          </w:tcPr>
          <w:p w14:paraId="2A8E27FA">
            <w:pPr>
              <w:widowControl/>
              <w:kinsoku w:val="0"/>
              <w:autoSpaceDE w:val="0"/>
              <w:autoSpaceDN w:val="0"/>
              <w:adjustRightInd w:val="0"/>
              <w:snapToGrid w:val="0"/>
              <w:spacing w:before="155" w:line="226" w:lineRule="auto"/>
              <w:ind w:left="130"/>
              <w:jc w:val="left"/>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13"/>
                <w:kern w:val="0"/>
                <w:szCs w:val="21"/>
              </w:rPr>
              <w:t>准</w:t>
            </w:r>
            <w:r>
              <w:rPr>
                <w:rFonts w:ascii="Times New Roman" w:hAnsi="Times New Roman" w:eastAsia="宋体" w:cs="Times New Roman"/>
                <w:snapToGrid w:val="0"/>
                <w:color w:val="000000"/>
                <w:spacing w:val="7"/>
                <w:kern w:val="0"/>
                <w:szCs w:val="21"/>
              </w:rPr>
              <w:t>予毕业并建议授予学位</w:t>
            </w:r>
          </w:p>
        </w:tc>
      </w:tr>
      <w:tr w14:paraId="2AED5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3" w:hRule="atLeast"/>
        </w:trPr>
        <w:tc>
          <w:tcPr>
            <w:tcW w:w="2013" w:type="dxa"/>
          </w:tcPr>
          <w:p w14:paraId="2C525D1A">
            <w:pPr>
              <w:widowControl/>
              <w:kinsoku w:val="0"/>
              <w:autoSpaceDE w:val="0"/>
              <w:autoSpaceDN w:val="0"/>
              <w:adjustRightInd w:val="0"/>
              <w:snapToGrid w:val="0"/>
              <w:spacing w:line="338" w:lineRule="auto"/>
              <w:jc w:val="left"/>
              <w:textAlignment w:val="baseline"/>
              <w:rPr>
                <w:rFonts w:ascii="Times New Roman" w:hAnsi="Times New Roman" w:eastAsia="宋体" w:cs="Times New Roman"/>
                <w:snapToGrid w:val="0"/>
                <w:color w:val="000000"/>
                <w:kern w:val="0"/>
                <w:szCs w:val="21"/>
              </w:rPr>
            </w:pPr>
          </w:p>
          <w:p w14:paraId="2B9F8239">
            <w:pPr>
              <w:widowControl/>
              <w:kinsoku w:val="0"/>
              <w:autoSpaceDE w:val="0"/>
              <w:autoSpaceDN w:val="0"/>
              <w:adjustRightInd w:val="0"/>
              <w:snapToGrid w:val="0"/>
              <w:spacing w:line="338" w:lineRule="auto"/>
              <w:jc w:val="left"/>
              <w:textAlignment w:val="baseline"/>
              <w:rPr>
                <w:rFonts w:ascii="Times New Roman" w:hAnsi="Times New Roman" w:eastAsia="宋体" w:cs="Times New Roman"/>
                <w:snapToGrid w:val="0"/>
                <w:color w:val="000000"/>
                <w:kern w:val="0"/>
                <w:szCs w:val="21"/>
              </w:rPr>
            </w:pPr>
          </w:p>
          <w:p w14:paraId="65A17E11">
            <w:pPr>
              <w:widowControl/>
              <w:kinsoku w:val="0"/>
              <w:autoSpaceDE w:val="0"/>
              <w:autoSpaceDN w:val="0"/>
              <w:adjustRightInd w:val="0"/>
              <w:snapToGrid w:val="0"/>
              <w:spacing w:before="101" w:line="229" w:lineRule="auto"/>
              <w:jc w:val="center"/>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9"/>
                <w:kern w:val="0"/>
                <w:szCs w:val="21"/>
              </w:rPr>
              <w:t>6</w:t>
            </w:r>
            <w:r>
              <w:rPr>
                <w:rFonts w:ascii="Times New Roman" w:hAnsi="Times New Roman" w:eastAsia="宋体" w:cs="Times New Roman"/>
                <w:snapToGrid w:val="0"/>
                <w:color w:val="000000"/>
                <w:spacing w:val="-5"/>
                <w:kern w:val="0"/>
                <w:szCs w:val="21"/>
              </w:rPr>
              <w:t>0-74 分</w:t>
            </w:r>
          </w:p>
        </w:tc>
        <w:tc>
          <w:tcPr>
            <w:tcW w:w="1709" w:type="dxa"/>
          </w:tcPr>
          <w:p w14:paraId="06BDB493">
            <w:pPr>
              <w:widowControl/>
              <w:kinsoku w:val="0"/>
              <w:autoSpaceDE w:val="0"/>
              <w:autoSpaceDN w:val="0"/>
              <w:adjustRightInd w:val="0"/>
              <w:snapToGrid w:val="0"/>
              <w:spacing w:line="244" w:lineRule="auto"/>
              <w:jc w:val="left"/>
              <w:textAlignment w:val="baseline"/>
              <w:rPr>
                <w:rFonts w:ascii="Times New Roman" w:hAnsi="Times New Roman" w:eastAsia="宋体" w:cs="Times New Roman"/>
                <w:snapToGrid w:val="0"/>
                <w:color w:val="000000"/>
                <w:kern w:val="0"/>
                <w:szCs w:val="21"/>
              </w:rPr>
            </w:pPr>
          </w:p>
          <w:p w14:paraId="5A3D76D0">
            <w:pPr>
              <w:widowControl/>
              <w:kinsoku w:val="0"/>
              <w:autoSpaceDE w:val="0"/>
              <w:autoSpaceDN w:val="0"/>
              <w:adjustRightInd w:val="0"/>
              <w:snapToGrid w:val="0"/>
              <w:spacing w:line="244" w:lineRule="auto"/>
              <w:jc w:val="left"/>
              <w:textAlignment w:val="baseline"/>
              <w:rPr>
                <w:rFonts w:ascii="Times New Roman" w:hAnsi="Times New Roman" w:eastAsia="宋体" w:cs="Times New Roman"/>
                <w:snapToGrid w:val="0"/>
                <w:color w:val="000000"/>
                <w:kern w:val="0"/>
                <w:szCs w:val="21"/>
              </w:rPr>
            </w:pPr>
          </w:p>
          <w:p w14:paraId="2B7E5263">
            <w:pPr>
              <w:widowControl/>
              <w:kinsoku w:val="0"/>
              <w:autoSpaceDE w:val="0"/>
              <w:autoSpaceDN w:val="0"/>
              <w:adjustRightInd w:val="0"/>
              <w:snapToGrid w:val="0"/>
              <w:spacing w:line="244" w:lineRule="auto"/>
              <w:jc w:val="left"/>
              <w:textAlignment w:val="baseline"/>
              <w:rPr>
                <w:rFonts w:ascii="Times New Roman" w:hAnsi="Times New Roman" w:eastAsia="宋体" w:cs="Times New Roman"/>
                <w:snapToGrid w:val="0"/>
                <w:color w:val="000000"/>
                <w:kern w:val="0"/>
                <w:szCs w:val="21"/>
              </w:rPr>
            </w:pPr>
          </w:p>
          <w:p w14:paraId="52B7E768">
            <w:pPr>
              <w:widowControl/>
              <w:kinsoku w:val="0"/>
              <w:autoSpaceDE w:val="0"/>
              <w:autoSpaceDN w:val="0"/>
              <w:adjustRightInd w:val="0"/>
              <w:snapToGrid w:val="0"/>
              <w:spacing w:before="101" w:line="183" w:lineRule="auto"/>
              <w:ind w:left="781"/>
              <w:jc w:val="left"/>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kern w:val="0"/>
                <w:szCs w:val="21"/>
              </w:rPr>
              <w:t>C</w:t>
            </w:r>
          </w:p>
        </w:tc>
        <w:tc>
          <w:tcPr>
            <w:tcW w:w="5282" w:type="dxa"/>
          </w:tcPr>
          <w:p w14:paraId="0DB743BA">
            <w:pPr>
              <w:widowControl/>
              <w:kinsoku w:val="0"/>
              <w:autoSpaceDE w:val="0"/>
              <w:autoSpaceDN w:val="0"/>
              <w:adjustRightInd w:val="0"/>
              <w:snapToGrid w:val="0"/>
              <w:spacing w:before="155" w:line="372" w:lineRule="auto"/>
              <w:ind w:left="127" w:right="108" w:firstLine="2"/>
              <w:jc w:val="left"/>
              <w:textAlignment w:val="baseline"/>
              <w:rPr>
                <w:rFonts w:ascii="Times New Roman" w:hAnsi="Times New Roman" w:eastAsia="宋体" w:cs="Times New Roman"/>
                <w:snapToGrid w:val="0"/>
                <w:color w:val="000000"/>
                <w:kern w:val="0"/>
                <w:szCs w:val="21"/>
              </w:rPr>
            </w:pPr>
            <w:r>
              <w:rPr>
                <w:rFonts w:ascii="Times New Roman" w:hAnsi="Times New Roman" w:eastAsia="宋体" w:cs="Times New Roman"/>
                <w:snapToGrid w:val="0"/>
                <w:color w:val="000000"/>
                <w:spacing w:val="5"/>
                <w:kern w:val="0"/>
                <w:szCs w:val="21"/>
              </w:rPr>
              <w:t>准予毕业但推迟授予学位，待论文</w:t>
            </w:r>
            <w:r>
              <w:rPr>
                <w:rFonts w:ascii="Times New Roman" w:hAnsi="Times New Roman" w:eastAsia="宋体" w:cs="Times New Roman"/>
                <w:snapToGrid w:val="0"/>
                <w:color w:val="000000"/>
                <w:spacing w:val="3"/>
                <w:kern w:val="0"/>
                <w:szCs w:val="21"/>
              </w:rPr>
              <w:t>根</w:t>
            </w:r>
            <w:r>
              <w:rPr>
                <w:rFonts w:ascii="Times New Roman" w:hAnsi="Times New Roman" w:eastAsia="宋体" w:cs="Times New Roman"/>
                <w:snapToGrid w:val="0"/>
                <w:color w:val="000000"/>
                <w:spacing w:val="27"/>
                <w:kern w:val="0"/>
                <w:szCs w:val="21"/>
              </w:rPr>
              <w:t>据</w:t>
            </w:r>
            <w:r>
              <w:rPr>
                <w:rFonts w:ascii="Times New Roman" w:hAnsi="Times New Roman" w:eastAsia="宋体" w:cs="Times New Roman"/>
                <w:snapToGrid w:val="0"/>
                <w:color w:val="000000"/>
                <w:spacing w:val="26"/>
                <w:kern w:val="0"/>
                <w:szCs w:val="21"/>
              </w:rPr>
              <w:t>专家意见修改到符合授予学位要</w:t>
            </w:r>
            <w:r>
              <w:rPr>
                <w:rFonts w:ascii="Times New Roman" w:hAnsi="Times New Roman" w:eastAsia="宋体" w:cs="Times New Roman"/>
                <w:snapToGrid w:val="0"/>
                <w:color w:val="000000"/>
                <w:spacing w:val="8"/>
                <w:kern w:val="0"/>
                <w:szCs w:val="21"/>
              </w:rPr>
              <w:t>求</w:t>
            </w:r>
            <w:r>
              <w:rPr>
                <w:rFonts w:ascii="Times New Roman" w:hAnsi="Times New Roman" w:eastAsia="宋体" w:cs="Times New Roman"/>
                <w:snapToGrid w:val="0"/>
                <w:color w:val="000000"/>
                <w:spacing w:val="5"/>
                <w:kern w:val="0"/>
                <w:szCs w:val="21"/>
              </w:rPr>
              <w:t>时</w:t>
            </w:r>
            <w:r>
              <w:rPr>
                <w:rFonts w:ascii="Times New Roman" w:hAnsi="Times New Roman" w:eastAsia="宋体" w:cs="Times New Roman"/>
                <w:snapToGrid w:val="0"/>
                <w:color w:val="000000"/>
                <w:spacing w:val="4"/>
                <w:kern w:val="0"/>
                <w:szCs w:val="21"/>
              </w:rPr>
              <w:t>方能授予学位 (论文是否符合授予学位标准，由学院决定是否重新参加答辩或学院学位评定分委员会讨论投票)</w:t>
            </w:r>
          </w:p>
        </w:tc>
      </w:tr>
      <w:tr w14:paraId="32E1E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013" w:type="dxa"/>
            <w:vAlign w:val="center"/>
          </w:tcPr>
          <w:p w14:paraId="334D9CD0">
            <w:pPr>
              <w:jc w:val="center"/>
              <w:rPr>
                <w:rFonts w:ascii="Times New Roman" w:hAnsi="Times New Roman" w:eastAsia="宋体" w:cs="Times New Roman"/>
                <w:snapToGrid w:val="0"/>
                <w:color w:val="000000"/>
              </w:rPr>
            </w:pPr>
            <w:r>
              <w:rPr>
                <w:rFonts w:ascii="Times New Roman" w:hAnsi="Times New Roman" w:eastAsia="宋体" w:cs="Times New Roman"/>
                <w:snapToGrid w:val="0"/>
                <w:color w:val="000000"/>
              </w:rPr>
              <w:t>0-59 分</w:t>
            </w:r>
          </w:p>
        </w:tc>
        <w:tc>
          <w:tcPr>
            <w:tcW w:w="1709" w:type="dxa"/>
            <w:vAlign w:val="center"/>
          </w:tcPr>
          <w:p w14:paraId="112123CC">
            <w:pPr>
              <w:jc w:val="center"/>
              <w:rPr>
                <w:rFonts w:ascii="Times New Roman" w:hAnsi="Times New Roman" w:eastAsia="宋体" w:cs="Times New Roman"/>
                <w:snapToGrid w:val="0"/>
                <w:color w:val="000000"/>
              </w:rPr>
            </w:pPr>
            <w:r>
              <w:rPr>
                <w:rFonts w:ascii="Times New Roman" w:hAnsi="Times New Roman" w:eastAsia="宋体" w:cs="Times New Roman"/>
                <w:snapToGrid w:val="0"/>
                <w:color w:val="000000"/>
              </w:rPr>
              <w:t>D</w:t>
            </w:r>
          </w:p>
        </w:tc>
        <w:tc>
          <w:tcPr>
            <w:tcW w:w="5282" w:type="dxa"/>
            <w:vAlign w:val="center"/>
          </w:tcPr>
          <w:p w14:paraId="57F20477">
            <w:pPr>
              <w:ind w:firstLine="210" w:firstLineChars="100"/>
              <w:jc w:val="left"/>
              <w:rPr>
                <w:rFonts w:ascii="Times New Roman" w:hAnsi="Times New Roman" w:eastAsia="宋体" w:cs="Times New Roman"/>
                <w:snapToGrid w:val="0"/>
                <w:color w:val="000000"/>
              </w:rPr>
            </w:pPr>
            <w:r>
              <w:rPr>
                <w:rFonts w:ascii="Times New Roman" w:hAnsi="Times New Roman" w:eastAsia="宋体" w:cs="Times New Roman"/>
                <w:snapToGrid w:val="0"/>
                <w:color w:val="000000"/>
              </w:rPr>
              <w:t>不予毕业和授予学位</w:t>
            </w:r>
          </w:p>
        </w:tc>
      </w:tr>
    </w:tbl>
    <w:p w14:paraId="6403972A">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3.讨论并形成答辩决议书。决议书内容主要包括：对论文选题、研究设计、研究过程与方法、学术水平、研究成果及学术规范、写作水平、不足之处等作出总体评价，提出修改意见，对论文是否通过答辩、是否建议授予学位及等级评定做明确结论。答辩决议书由答辩委员会主席签字生效。</w:t>
      </w:r>
    </w:p>
    <w:p w14:paraId="7E920A05">
      <w:pPr>
        <w:spacing w:line="360" w:lineRule="auto"/>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(七)答辩委员会主席向答辩人当面宣布表决结果并宣读答辩委员会决议。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mODY4NmFlN2ZkM2Y0YjcwZDllMTQ2Yzk3YTAzOTkifQ=="/>
  </w:docVars>
  <w:rsids>
    <w:rsidRoot w:val="00DE51D4"/>
    <w:rsid w:val="00162A72"/>
    <w:rsid w:val="002A30A5"/>
    <w:rsid w:val="002A4B69"/>
    <w:rsid w:val="002B3EEC"/>
    <w:rsid w:val="00302E85"/>
    <w:rsid w:val="00331918"/>
    <w:rsid w:val="00400BEE"/>
    <w:rsid w:val="004B2F58"/>
    <w:rsid w:val="004F3AA8"/>
    <w:rsid w:val="005E6AA4"/>
    <w:rsid w:val="00622E0E"/>
    <w:rsid w:val="007C755D"/>
    <w:rsid w:val="007F4B23"/>
    <w:rsid w:val="00885607"/>
    <w:rsid w:val="008D7B59"/>
    <w:rsid w:val="00B41487"/>
    <w:rsid w:val="00BA38CA"/>
    <w:rsid w:val="00C0353F"/>
    <w:rsid w:val="00C176AB"/>
    <w:rsid w:val="00C66F1D"/>
    <w:rsid w:val="00C671CB"/>
    <w:rsid w:val="00D0786E"/>
    <w:rsid w:val="00DE51D4"/>
    <w:rsid w:val="00EB4934"/>
    <w:rsid w:val="00F13E7B"/>
    <w:rsid w:val="00F472DA"/>
    <w:rsid w:val="098F0A01"/>
    <w:rsid w:val="20602636"/>
    <w:rsid w:val="334E5D90"/>
    <w:rsid w:val="36667C67"/>
    <w:rsid w:val="47694367"/>
    <w:rsid w:val="5DCA090D"/>
    <w:rsid w:val="67804B0E"/>
    <w:rsid w:val="686F2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autoRedefine/>
    <w:qFormat/>
    <w:uiPriority w:val="99"/>
    <w:rPr>
      <w:sz w:val="18"/>
      <w:szCs w:val="18"/>
    </w:rPr>
  </w:style>
  <w:style w:type="character" w:customStyle="1" w:styleId="8">
    <w:name w:val="页脚 Char"/>
    <w:basedOn w:val="6"/>
    <w:link w:val="2"/>
    <w:autoRedefine/>
    <w:qFormat/>
    <w:uiPriority w:val="99"/>
    <w:rPr>
      <w:sz w:val="18"/>
      <w:szCs w:val="18"/>
    </w:rPr>
  </w:style>
  <w:style w:type="table" w:customStyle="1" w:styleId="9">
    <w:name w:val="Table Normal"/>
    <w:semiHidden/>
    <w:unhideWhenUsed/>
    <w:qFormat/>
    <w:uiPriority w:val="0"/>
    <w:rPr>
      <w:rFonts w:ascii="Arial" w:hAnsi="Arial" w:cs="Arial"/>
      <w:snapToGrid w:val="0"/>
      <w:color w:val="000000"/>
      <w:sz w:val="21"/>
      <w:szCs w:val="21"/>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1345</Words>
  <Characters>1392</Characters>
  <Lines>11</Lines>
  <Paragraphs>3</Paragraphs>
  <TotalTime>47</TotalTime>
  <ScaleCrop>false</ScaleCrop>
  <LinksUpToDate>false</LinksUpToDate>
  <CharactersWithSpaces>1501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2022-05-19T05:38:00Z</dcterms:created>
  <dc:creator>Administrator</dc:creator>
  <cp:lastModifiedBy>张三</cp:lastModifiedBy>
  <cp:lastPrinted>2022-05-23T04:47:00Z</cp:lastPrinted>
  <dcterms:modified xsi:type="dcterms:W3CDTF">2025-05-17T14:14:38Z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732A53EC8E544EE9B61816431F7E000A_12</vt:lpwstr>
  </property>
  <property fmtid="{D5CDD505-2E9C-101B-9397-08002B2CF9AE}" pid="4" name="KSOTemplateDocerSaveRecord">
    <vt:lpwstr>eyJoZGlkIjoiNDFmODY4NmFlN2ZkM2Y0YjcwZDllMTQ2Yzk3YTAzOTkiLCJ1c2VySWQiOiIxNTkxNjI3MzMyIn0=</vt:lpwstr>
  </property>
</Properties>
</file>