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BC3D4E">
      <w:pPr>
        <w:spacing w:line="100" w:lineRule="exact"/>
        <w:rPr>
          <w:color w:val="000000"/>
          <w:sz w:val="36"/>
          <w:szCs w:val="36"/>
        </w:rPr>
      </w:pPr>
      <w:bookmarkStart w:id="0" w:name="_Toc530473016"/>
    </w:p>
    <w:bookmarkEnd w:id="0"/>
    <w:p w14:paraId="71889580">
      <w:pPr>
        <w:spacing w:line="740" w:lineRule="exact"/>
        <w:jc w:val="center"/>
        <w:outlineLvl w:val="2"/>
        <w:rPr>
          <w:rFonts w:eastAsia="黑体"/>
          <w:color w:val="000000"/>
          <w:sz w:val="32"/>
          <w:szCs w:val="32"/>
        </w:rPr>
      </w:pPr>
      <w:bookmarkStart w:id="1" w:name="_Toc357348418"/>
      <w:bookmarkStart w:id="2" w:name="_Toc1550903188"/>
      <w:bookmarkStart w:id="3" w:name="_Toc1099067205"/>
      <w:bookmarkStart w:id="4" w:name="_Toc1423068732"/>
      <w:bookmarkStart w:id="5" w:name="_Toc1827832502"/>
      <w:bookmarkStart w:id="6" w:name="_Toc175603519"/>
      <w:bookmarkStart w:id="7" w:name="_Toc2131911538"/>
      <w:bookmarkStart w:id="8" w:name="_Toc2124023149"/>
      <w:r>
        <w:rPr>
          <w:rFonts w:hint="eastAsia" w:eastAsia="黑体"/>
          <w:color w:val="000000"/>
          <w:sz w:val="32"/>
          <w:szCs w:val="32"/>
        </w:rPr>
        <w:t>2025年度</w:t>
      </w:r>
      <w:r>
        <w:rPr>
          <w:rFonts w:eastAsia="黑体"/>
          <w:color w:val="000000"/>
          <w:sz w:val="32"/>
          <w:szCs w:val="32"/>
        </w:rPr>
        <w:t>海南省科学技术奖提名公示内容</w:t>
      </w:r>
      <w:bookmarkEnd w:id="1"/>
      <w:bookmarkEnd w:id="2"/>
      <w:bookmarkEnd w:id="3"/>
      <w:bookmarkEnd w:id="4"/>
      <w:bookmarkEnd w:id="5"/>
      <w:bookmarkEnd w:id="6"/>
      <w:bookmarkEnd w:id="7"/>
      <w:bookmarkEnd w:id="8"/>
      <w:bookmarkStart w:id="10" w:name="_GoBack"/>
      <w:bookmarkEnd w:id="10"/>
    </w:p>
    <w:p w14:paraId="1FDC4A3C">
      <w:pPr>
        <w:spacing w:line="100" w:lineRule="exact"/>
        <w:jc w:val="center"/>
        <w:rPr>
          <w:rFonts w:eastAsia="仿宋_GB2312"/>
          <w:color w:val="000000"/>
          <w:sz w:val="32"/>
          <w:szCs w:val="32"/>
        </w:rPr>
      </w:pPr>
    </w:p>
    <w:p w14:paraId="6118A7A7">
      <w:pPr>
        <w:spacing w:line="440" w:lineRule="exact"/>
        <w:jc w:val="center"/>
        <w:rPr>
          <w:rFonts w:ascii="宋体" w:hAnsi="宋体" w:cs="宋体"/>
          <w:szCs w:val="24"/>
        </w:rPr>
      </w:pPr>
      <w:r>
        <w:rPr>
          <w:rFonts w:hint="eastAsia" w:ascii="宋体" w:hAnsi="宋体" w:cs="宋体"/>
          <w:szCs w:val="24"/>
        </w:rPr>
        <w:t>（适用于项目主要完成单位、主要完成人所在单位）</w:t>
      </w:r>
    </w:p>
    <w:p w14:paraId="09E492EE">
      <w:pPr>
        <w:spacing w:line="440" w:lineRule="exact"/>
        <w:rPr>
          <w:rFonts w:ascii="宋体" w:hAnsi="宋体" w:cs="宋体"/>
          <w:szCs w:val="24"/>
        </w:rPr>
      </w:pPr>
    </w:p>
    <w:tbl>
      <w:tblPr>
        <w:tblStyle w:val="5"/>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269"/>
        <w:gridCol w:w="7051"/>
      </w:tblGrid>
      <w:tr w14:paraId="2A3550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7" w:hRule="atLeast"/>
          <w:jc w:val="center"/>
        </w:trPr>
        <w:tc>
          <w:tcPr>
            <w:tcW w:w="2269" w:type="dxa"/>
            <w:vAlign w:val="center"/>
          </w:tcPr>
          <w:p w14:paraId="6AB120AE">
            <w:pPr>
              <w:jc w:val="center"/>
              <w:rPr>
                <w:rStyle w:val="10"/>
                <w:color w:val="auto"/>
              </w:rPr>
            </w:pPr>
            <w:r>
              <w:rPr>
                <w:rStyle w:val="10"/>
                <w:color w:val="auto"/>
              </w:rPr>
              <w:t>项目名称</w:t>
            </w:r>
          </w:p>
        </w:tc>
        <w:tc>
          <w:tcPr>
            <w:tcW w:w="7051" w:type="dxa"/>
            <w:vAlign w:val="center"/>
          </w:tcPr>
          <w:p w14:paraId="283F949F">
            <w:pPr>
              <w:jc w:val="center"/>
              <w:rPr>
                <w:rStyle w:val="10"/>
                <w:b w:val="0"/>
                <w:color w:val="auto"/>
                <w:sz w:val="28"/>
              </w:rPr>
            </w:pPr>
            <w:bookmarkStart w:id="9" w:name="_Hlk223362402"/>
            <w:r>
              <w:rPr>
                <w:rFonts w:hint="eastAsia" w:ascii="宋体" w:hAnsi="宋体"/>
                <w:szCs w:val="24"/>
              </w:rPr>
              <w:t>海洋微藻光驱固碳产高值品创新应用的生物学基础</w:t>
            </w:r>
            <w:bookmarkEnd w:id="9"/>
          </w:p>
        </w:tc>
      </w:tr>
      <w:tr w14:paraId="0B8BA9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3" w:hRule="atLeast"/>
          <w:jc w:val="center"/>
        </w:trPr>
        <w:tc>
          <w:tcPr>
            <w:tcW w:w="2269" w:type="dxa"/>
            <w:vAlign w:val="center"/>
          </w:tcPr>
          <w:p w14:paraId="5A57AC09">
            <w:pPr>
              <w:jc w:val="center"/>
              <w:rPr>
                <w:rStyle w:val="10"/>
                <w:color w:val="auto"/>
              </w:rPr>
            </w:pPr>
            <w:r>
              <w:rPr>
                <w:rStyle w:val="10"/>
                <w:color w:val="auto"/>
              </w:rPr>
              <w:t>提名奖项及等级</w:t>
            </w:r>
          </w:p>
        </w:tc>
        <w:tc>
          <w:tcPr>
            <w:tcW w:w="7051" w:type="dxa"/>
            <w:vAlign w:val="center"/>
          </w:tcPr>
          <w:p w14:paraId="706FC955">
            <w:pPr>
              <w:jc w:val="center"/>
              <w:rPr>
                <w:rStyle w:val="10"/>
                <w:b w:val="0"/>
                <w:color w:val="auto"/>
                <w:sz w:val="28"/>
              </w:rPr>
            </w:pPr>
            <w:r>
              <w:rPr>
                <w:rStyle w:val="10"/>
                <w:rFonts w:hint="eastAsia"/>
                <w:b w:val="0"/>
                <w:color w:val="auto"/>
                <w:sz w:val="28"/>
              </w:rPr>
              <w:t>自然科学奖一等奖</w:t>
            </w:r>
          </w:p>
        </w:tc>
      </w:tr>
      <w:tr w14:paraId="7C5CFB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1" w:hRule="atLeast"/>
          <w:jc w:val="center"/>
        </w:trPr>
        <w:tc>
          <w:tcPr>
            <w:tcW w:w="2269" w:type="dxa"/>
            <w:vAlign w:val="center"/>
          </w:tcPr>
          <w:p w14:paraId="07F57B98">
            <w:pPr>
              <w:jc w:val="center"/>
              <w:rPr>
                <w:b/>
                <w:bCs/>
                <w:sz w:val="24"/>
                <w:szCs w:val="24"/>
                <w:lang w:val="en"/>
              </w:rPr>
            </w:pPr>
            <w:r>
              <w:rPr>
                <w:rStyle w:val="10"/>
                <w:color w:val="auto"/>
              </w:rPr>
              <w:t>提名者</w:t>
            </w:r>
          </w:p>
        </w:tc>
        <w:tc>
          <w:tcPr>
            <w:tcW w:w="7051" w:type="dxa"/>
            <w:vAlign w:val="center"/>
          </w:tcPr>
          <w:p w14:paraId="6F932E1D">
            <w:pPr>
              <w:contextualSpacing/>
              <w:jc w:val="center"/>
              <w:rPr>
                <w:bCs/>
                <w:sz w:val="24"/>
                <w:szCs w:val="24"/>
              </w:rPr>
            </w:pPr>
            <w:r>
              <w:rPr>
                <w:rFonts w:hint="eastAsia"/>
                <w:sz w:val="24"/>
                <w:szCs w:val="32"/>
              </w:rPr>
              <w:t>海南大学</w:t>
            </w:r>
          </w:p>
        </w:tc>
      </w:tr>
      <w:tr w14:paraId="45ADEDB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4" w:hRule="atLeast"/>
          <w:jc w:val="center"/>
        </w:trPr>
        <w:tc>
          <w:tcPr>
            <w:tcW w:w="2269" w:type="dxa"/>
            <w:tcBorders>
              <w:right w:val="single" w:color="auto" w:sz="4" w:space="0"/>
            </w:tcBorders>
            <w:vAlign w:val="center"/>
          </w:tcPr>
          <w:p w14:paraId="16311B42">
            <w:pPr>
              <w:spacing w:line="440" w:lineRule="exact"/>
              <w:jc w:val="center"/>
              <w:rPr>
                <w:b/>
                <w:bCs/>
                <w:sz w:val="24"/>
                <w:szCs w:val="24"/>
              </w:rPr>
            </w:pPr>
            <w:r>
              <w:rPr>
                <w:b/>
                <w:bCs/>
                <w:sz w:val="24"/>
                <w:szCs w:val="24"/>
              </w:rPr>
              <w:t>项目简介（1200字以内）</w:t>
            </w:r>
          </w:p>
        </w:tc>
        <w:tc>
          <w:tcPr>
            <w:tcW w:w="7051" w:type="dxa"/>
            <w:tcBorders>
              <w:left w:val="single" w:color="auto" w:sz="4" w:space="0"/>
            </w:tcBorders>
            <w:vAlign w:val="center"/>
          </w:tcPr>
          <w:p w14:paraId="74EF77FC">
            <w:pPr>
              <w:pStyle w:val="13"/>
              <w:shd w:val="clear" w:color="auto" w:fill="FFFFFF"/>
              <w:adjustRightInd w:val="0"/>
              <w:snapToGrid w:val="0"/>
              <w:spacing w:before="0" w:beforeAutospacing="0" w:after="0" w:afterAutospacing="0"/>
              <w:jc w:val="both"/>
              <w:rPr>
                <w:rFonts w:ascii="Times New Roman" w:hAnsi="Times New Roman" w:cs="Times New Roman"/>
                <w:b/>
                <w:sz w:val="21"/>
                <w:szCs w:val="21"/>
              </w:rPr>
            </w:pPr>
            <w:r>
              <w:rPr>
                <w:rFonts w:ascii="Times New Roman" w:hAnsi="Times New Roman" w:cs="Times New Roman"/>
                <w:snapToGrid w:val="0"/>
                <w:color w:val="191919"/>
                <w:kern w:val="24"/>
                <w:sz w:val="21"/>
                <w:szCs w:val="21"/>
                <w:shd w:val="clear" w:color="auto" w:fill="FFFFFF"/>
              </w:rPr>
              <w:t>被推荐团队</w:t>
            </w:r>
            <w:r>
              <w:rPr>
                <w:rFonts w:ascii="Times New Roman" w:hAnsi="Times New Roman" w:cs="Times New Roman"/>
                <w:color w:val="0F1115"/>
                <w:sz w:val="21"/>
                <w:szCs w:val="21"/>
              </w:rPr>
              <w:t>以“解析机制—创建工具—重塑网络—构建体系”为主线，系统性开展海洋微藻光驱固碳产高值品的生物学基础与合成生物学应用研究。</w:t>
            </w:r>
            <w:r>
              <w:rPr>
                <w:rFonts w:ascii="Times New Roman" w:hAnsi="Times New Roman" w:cs="Times New Roman"/>
                <w:bCs/>
                <w:sz w:val="21"/>
                <w:szCs w:val="21"/>
              </w:rPr>
              <w:t>主要科学与技术进展包括：</w:t>
            </w:r>
          </w:p>
          <w:p w14:paraId="21DAE38D">
            <w:pPr>
              <w:adjustRightInd w:val="0"/>
              <w:snapToGrid w:val="0"/>
              <w:rPr>
                <w:snapToGrid w:val="0"/>
                <w:kern w:val="24"/>
                <w:sz w:val="21"/>
                <w:szCs w:val="21"/>
                <w:shd w:val="clear" w:color="auto" w:fill="FFFFFF"/>
              </w:rPr>
            </w:pPr>
            <w:r>
              <w:rPr>
                <w:b/>
                <w:bCs/>
                <w:snapToGrid w:val="0"/>
                <w:kern w:val="24"/>
                <w:sz w:val="21"/>
                <w:szCs w:val="21"/>
                <w:shd w:val="clear" w:color="auto" w:fill="FFFFFF"/>
              </w:rPr>
              <w:t>1. 深度解析光合固碳机制：</w:t>
            </w:r>
            <w:r>
              <w:rPr>
                <w:snapToGrid w:val="0"/>
                <w:kern w:val="24"/>
                <w:sz w:val="21"/>
                <w:szCs w:val="21"/>
                <w:shd w:val="clear" w:color="auto" w:fill="FFFFFF"/>
              </w:rPr>
              <w:t>解析了硅藻主要捕光天线蛋白FCP高分辨率晶体结构和LHCR调控捕光能力与活性氧生成的平衡的枢纽作用，并揭示了微藻如何通过CA2与捕光系统的协同，从适应远古高浓度CO</w:t>
            </w:r>
            <w:r>
              <w:rPr>
                <w:snapToGrid w:val="0"/>
                <w:kern w:val="24"/>
                <w:sz w:val="21"/>
                <w:szCs w:val="21"/>
                <w:shd w:val="clear" w:color="auto" w:fill="FFFFFF"/>
                <w:vertAlign w:val="subscript"/>
              </w:rPr>
              <w:t>2</w:t>
            </w:r>
            <w:r>
              <w:rPr>
                <w:snapToGrid w:val="0"/>
                <w:kern w:val="24"/>
                <w:sz w:val="21"/>
                <w:szCs w:val="21"/>
                <w:shd w:val="clear" w:color="auto" w:fill="FFFFFF"/>
              </w:rPr>
              <w:t>环境进化至适应现代低浓度CO</w:t>
            </w:r>
            <w:r>
              <w:rPr>
                <w:snapToGrid w:val="0"/>
                <w:kern w:val="24"/>
                <w:sz w:val="21"/>
                <w:szCs w:val="21"/>
                <w:shd w:val="clear" w:color="auto" w:fill="FFFFFF"/>
                <w:vertAlign w:val="subscript"/>
              </w:rPr>
              <w:t>2</w:t>
            </w:r>
            <w:r>
              <w:rPr>
                <w:snapToGrid w:val="0"/>
                <w:kern w:val="24"/>
                <w:sz w:val="21"/>
                <w:szCs w:val="21"/>
                <w:shd w:val="clear" w:color="auto" w:fill="FFFFFF"/>
              </w:rPr>
              <w:t>环境的分子策略。成果发表于</w:t>
            </w:r>
            <w:r>
              <w:rPr>
                <w:i/>
                <w:iCs/>
                <w:snapToGrid w:val="0"/>
                <w:kern w:val="24"/>
                <w:sz w:val="21"/>
                <w:szCs w:val="21"/>
                <w:shd w:val="clear" w:color="auto" w:fill="FFFFFF"/>
              </w:rPr>
              <w:t>Nature Communications</w:t>
            </w:r>
            <w:r>
              <w:rPr>
                <w:snapToGrid w:val="0"/>
                <w:kern w:val="24"/>
                <w:sz w:val="21"/>
                <w:szCs w:val="21"/>
                <w:shd w:val="clear" w:color="auto" w:fill="FFFFFF"/>
              </w:rPr>
              <w:t>及</w:t>
            </w:r>
            <w:r>
              <w:rPr>
                <w:i/>
                <w:iCs/>
                <w:snapToGrid w:val="0"/>
                <w:kern w:val="24"/>
                <w:sz w:val="21"/>
                <w:szCs w:val="21"/>
                <w:shd w:val="clear" w:color="auto" w:fill="FFFFFF"/>
              </w:rPr>
              <w:t>Metabolic Engineering</w:t>
            </w:r>
            <w:r>
              <w:rPr>
                <w:snapToGrid w:val="0"/>
                <w:kern w:val="24"/>
                <w:sz w:val="21"/>
                <w:szCs w:val="21"/>
                <w:shd w:val="clear" w:color="auto" w:fill="FFFFFF"/>
              </w:rPr>
              <w:t>等</w:t>
            </w:r>
            <w:r>
              <w:rPr>
                <w:bCs/>
                <w:snapToGrid w:val="0"/>
                <w:kern w:val="21"/>
                <w:sz w:val="21"/>
                <w:szCs w:val="21"/>
              </w:rPr>
              <w:t>。</w:t>
            </w:r>
          </w:p>
          <w:p w14:paraId="65586C5D">
            <w:pPr>
              <w:adjustRightInd w:val="0"/>
              <w:snapToGrid w:val="0"/>
              <w:rPr>
                <w:snapToGrid w:val="0"/>
                <w:kern w:val="24"/>
                <w:sz w:val="21"/>
                <w:szCs w:val="21"/>
              </w:rPr>
            </w:pPr>
            <w:r>
              <w:rPr>
                <w:snapToGrid w:val="0"/>
                <w:kern w:val="24"/>
                <w:sz w:val="21"/>
                <w:szCs w:val="21"/>
                <w:shd w:val="clear" w:color="auto" w:fill="FFFFFF"/>
              </w:rPr>
              <w:t xml:space="preserve">2. </w:t>
            </w:r>
            <w:r>
              <w:rPr>
                <w:b/>
                <w:bCs/>
                <w:snapToGrid w:val="0"/>
                <w:kern w:val="24"/>
                <w:sz w:val="21"/>
                <w:szCs w:val="21"/>
                <w:shd w:val="clear" w:color="auto" w:fill="FFFFFF"/>
              </w:rPr>
              <w:t>揭示复杂代谢物合成新路径与调控网络：</w:t>
            </w:r>
            <w:r>
              <w:rPr>
                <w:snapToGrid w:val="0"/>
                <w:kern w:val="24"/>
                <w:sz w:val="21"/>
                <w:szCs w:val="21"/>
                <w:shd w:val="clear" w:color="auto" w:fill="FFFFFF"/>
              </w:rPr>
              <w:t xml:space="preserve"> 深入剖析了碳流向</w:t>
            </w:r>
            <w:r>
              <w:rPr>
                <w:bCs/>
                <w:snapToGrid w:val="0"/>
                <w:kern w:val="24"/>
                <w:sz w:val="21"/>
                <w:szCs w:val="21"/>
                <w:shd w:val="clear" w:color="auto" w:fill="FFFFFF"/>
              </w:rPr>
              <w:t>不同储能特性的有机碳</w:t>
            </w:r>
            <w:r>
              <w:rPr>
                <w:snapToGrid w:val="0"/>
                <w:kern w:val="24"/>
                <w:sz w:val="21"/>
                <w:szCs w:val="21"/>
                <w:shd w:val="clear" w:color="auto" w:fill="FFFFFF"/>
              </w:rPr>
              <w:t xml:space="preserve">迁移转化的规律，构建了甾醇、中性脂精细的代谢网络模型，修正或补充了该领域的经典模型。成果发表于 </w:t>
            </w:r>
            <w:r>
              <w:rPr>
                <w:i/>
                <w:iCs/>
                <w:snapToGrid w:val="0"/>
                <w:kern w:val="24"/>
                <w:sz w:val="21"/>
                <w:szCs w:val="21"/>
                <w:shd w:val="clear" w:color="auto" w:fill="FFFFFF"/>
              </w:rPr>
              <w:t>JACS</w:t>
            </w:r>
            <w:r>
              <w:rPr>
                <w:snapToGrid w:val="0"/>
                <w:kern w:val="24"/>
                <w:sz w:val="21"/>
                <w:szCs w:val="21"/>
                <w:shd w:val="clear" w:color="auto" w:fill="FFFFFF"/>
              </w:rPr>
              <w:t>、</w:t>
            </w:r>
            <w:r>
              <w:rPr>
                <w:i/>
                <w:iCs/>
                <w:snapToGrid w:val="0"/>
                <w:kern w:val="24"/>
                <w:sz w:val="21"/>
                <w:szCs w:val="21"/>
                <w:shd w:val="clear" w:color="auto" w:fill="FFFFFF"/>
              </w:rPr>
              <w:t>Molecular Plant</w:t>
            </w:r>
            <w:r>
              <w:rPr>
                <w:snapToGrid w:val="0"/>
                <w:kern w:val="24"/>
                <w:sz w:val="21"/>
                <w:szCs w:val="21"/>
                <w:shd w:val="clear" w:color="auto" w:fill="FFFFFF"/>
              </w:rPr>
              <w:t>等。</w:t>
            </w:r>
          </w:p>
          <w:p w14:paraId="0C422B51">
            <w:pPr>
              <w:pStyle w:val="13"/>
              <w:shd w:val="clear" w:color="auto" w:fill="FFFFFF"/>
              <w:adjustRightInd w:val="0"/>
              <w:snapToGrid w:val="0"/>
              <w:spacing w:before="0" w:beforeAutospacing="0" w:after="0" w:afterAutospacing="0"/>
              <w:jc w:val="both"/>
              <w:rPr>
                <w:rFonts w:ascii="Times New Roman" w:hAnsi="Times New Roman" w:cs="Times New Roman"/>
                <w:color w:val="0F1115"/>
                <w:sz w:val="21"/>
                <w:szCs w:val="21"/>
              </w:rPr>
            </w:pPr>
            <w:r>
              <w:rPr>
                <w:rFonts w:ascii="Times New Roman" w:hAnsi="Times New Roman" w:cs="Times New Roman"/>
                <w:sz w:val="21"/>
                <w:szCs w:val="21"/>
              </w:rPr>
              <w:t xml:space="preserve">3. </w:t>
            </w:r>
            <w:r>
              <w:rPr>
                <w:rFonts w:ascii="Times New Roman" w:hAnsi="Times New Roman" w:cs="Times New Roman"/>
                <w:b/>
                <w:bCs/>
                <w:snapToGrid w:val="0"/>
                <w:kern w:val="24"/>
                <w:sz w:val="21"/>
                <w:szCs w:val="21"/>
                <w:shd w:val="clear" w:color="auto" w:fill="FFFFFF"/>
              </w:rPr>
              <w:t>创建工业微藻合成生物学工具平台：</w:t>
            </w:r>
            <w:r>
              <w:rPr>
                <w:rFonts w:ascii="Times New Roman" w:hAnsi="Times New Roman" w:cs="Times New Roman"/>
                <w:snapToGrid w:val="0"/>
                <w:kern w:val="24"/>
                <w:sz w:val="21"/>
                <w:szCs w:val="21"/>
                <w:shd w:val="clear" w:color="auto" w:fill="FFFFFF"/>
              </w:rPr>
              <w:t>建立了从化学生物学调控到涵盖“核基因组+细胞器基因组”、“敲低+敲除+激活”的完整合成生物学工具平台，实现了微藻性状调控技术从无到有、编辑效率从低到高的跨越式提升。成果发表于</w:t>
            </w:r>
            <w:r>
              <w:rPr>
                <w:rFonts w:ascii="Times New Roman" w:hAnsi="Times New Roman" w:cs="Times New Roman"/>
                <w:i/>
                <w:iCs/>
                <w:snapToGrid w:val="0"/>
                <w:kern w:val="24"/>
                <w:sz w:val="21"/>
                <w:szCs w:val="21"/>
                <w:shd w:val="clear" w:color="auto" w:fill="FFFFFF"/>
              </w:rPr>
              <w:t>Plant J</w:t>
            </w:r>
            <w:r>
              <w:rPr>
                <w:rFonts w:ascii="Times New Roman" w:hAnsi="Times New Roman" w:cs="Times New Roman"/>
                <w:snapToGrid w:val="0"/>
                <w:kern w:val="24"/>
                <w:sz w:val="21"/>
                <w:szCs w:val="21"/>
                <w:shd w:val="clear" w:color="auto" w:fill="FFFFFF"/>
              </w:rPr>
              <w:t>(2014, 2016, 2017)、</w:t>
            </w:r>
            <w:r>
              <w:rPr>
                <w:rFonts w:ascii="Times New Roman" w:hAnsi="Times New Roman" w:cs="Times New Roman"/>
                <w:i/>
                <w:iCs/>
                <w:snapToGrid w:val="0"/>
                <w:kern w:val="24"/>
                <w:sz w:val="21"/>
                <w:szCs w:val="21"/>
                <w:shd w:val="clear" w:color="auto" w:fill="FFFFFF"/>
              </w:rPr>
              <w:t>Plant Biotechnology Journal</w:t>
            </w:r>
            <w:r>
              <w:rPr>
                <w:rFonts w:ascii="Times New Roman" w:hAnsi="Times New Roman" w:cs="Times New Roman"/>
                <w:snapToGrid w:val="0"/>
                <w:kern w:val="24"/>
                <w:sz w:val="21"/>
                <w:szCs w:val="21"/>
                <w:shd w:val="clear" w:color="auto" w:fill="FFFFFF"/>
              </w:rPr>
              <w:t>等。</w:t>
            </w:r>
          </w:p>
          <w:p w14:paraId="61847BBF">
            <w:pPr>
              <w:adjustRightInd w:val="0"/>
              <w:snapToGrid w:val="0"/>
              <w:rPr>
                <w:b/>
                <w:bCs/>
                <w:snapToGrid w:val="0"/>
                <w:color w:val="191919"/>
                <w:kern w:val="24"/>
                <w:sz w:val="21"/>
                <w:szCs w:val="21"/>
                <w:shd w:val="clear" w:color="auto" w:fill="FFFFFF"/>
              </w:rPr>
            </w:pPr>
            <w:r>
              <w:rPr>
                <w:snapToGrid w:val="0"/>
                <w:color w:val="191919"/>
                <w:kern w:val="24"/>
                <w:sz w:val="21"/>
                <w:szCs w:val="21"/>
                <w:shd w:val="clear" w:color="auto" w:fill="FFFFFF"/>
              </w:rPr>
              <w:t>这些工作为细胞可编辑、功能可控制以及藻株可放大应用方面提供了关键技术，</w:t>
            </w:r>
            <w:r>
              <w:rPr>
                <w:rStyle w:val="12"/>
                <w:rFonts w:hint="default" w:ascii="Times New Roman" w:hAnsi="Times New Roman"/>
                <w:snapToGrid w:val="0"/>
                <w:kern w:val="24"/>
                <w:sz w:val="21"/>
                <w:szCs w:val="21"/>
              </w:rPr>
              <w:t>展现了</w:t>
            </w:r>
            <w:r>
              <w:rPr>
                <w:snapToGrid w:val="0"/>
                <w:kern w:val="24"/>
                <w:sz w:val="21"/>
                <w:szCs w:val="21"/>
                <w:shd w:val="clear" w:color="auto" w:fill="FFFFFF"/>
              </w:rPr>
              <w:t>阳光驱动的海水和CO</w:t>
            </w:r>
            <w:r>
              <w:rPr>
                <w:snapToGrid w:val="0"/>
                <w:kern w:val="24"/>
                <w:sz w:val="21"/>
                <w:szCs w:val="21"/>
                <w:shd w:val="clear" w:color="auto" w:fill="FFFFFF"/>
                <w:vertAlign w:val="subscript"/>
              </w:rPr>
              <w:t>2</w:t>
            </w:r>
            <w:r>
              <w:rPr>
                <w:snapToGrid w:val="0"/>
                <w:kern w:val="24"/>
                <w:sz w:val="21"/>
                <w:szCs w:val="21"/>
                <w:shd w:val="clear" w:color="auto" w:fill="FFFFFF"/>
              </w:rPr>
              <w:t>高效转化高值品的巨大潜力，推动了“光合生物合成生物学”理论体系和产业应用的发展</w:t>
            </w:r>
            <w:r>
              <w:rPr>
                <w:snapToGrid w:val="0"/>
                <w:color w:val="191919"/>
                <w:kern w:val="24"/>
                <w:sz w:val="21"/>
                <w:szCs w:val="21"/>
                <w:shd w:val="clear" w:color="auto" w:fill="FFFFFF"/>
              </w:rPr>
              <w:t>。</w:t>
            </w:r>
          </w:p>
          <w:p w14:paraId="328C2681">
            <w:pPr>
              <w:adjustRightInd w:val="0"/>
              <w:snapToGrid w:val="0"/>
              <w:rPr>
                <w:color w:val="0F1115"/>
                <w:sz w:val="21"/>
                <w:szCs w:val="21"/>
              </w:rPr>
            </w:pPr>
            <w:r>
              <w:rPr>
                <w:snapToGrid w:val="0"/>
                <w:color w:val="191919"/>
                <w:kern w:val="24"/>
                <w:sz w:val="21"/>
                <w:szCs w:val="21"/>
                <w:shd w:val="clear" w:color="auto" w:fill="FFFFFF"/>
              </w:rPr>
              <w:t>发表SCI论文30篇，</w:t>
            </w:r>
            <w:r>
              <w:rPr>
                <w:color w:val="0F1115"/>
                <w:sz w:val="21"/>
                <w:szCs w:val="21"/>
              </w:rPr>
              <w:t>成果被</w:t>
            </w:r>
            <w:r>
              <w:rPr>
                <w:rStyle w:val="8"/>
                <w:color w:val="0F1115"/>
                <w:sz w:val="21"/>
                <w:szCs w:val="21"/>
              </w:rPr>
              <w:t>Cell</w:t>
            </w:r>
            <w:r>
              <w:rPr>
                <w:color w:val="0F1115"/>
                <w:sz w:val="21"/>
                <w:szCs w:val="21"/>
              </w:rPr>
              <w:t>、</w:t>
            </w:r>
            <w:r>
              <w:rPr>
                <w:rStyle w:val="8"/>
                <w:color w:val="0F1115"/>
                <w:sz w:val="21"/>
                <w:szCs w:val="21"/>
              </w:rPr>
              <w:t>Nature Biotechnology</w:t>
            </w:r>
            <w:r>
              <w:rPr>
                <w:color w:val="0F1115"/>
                <w:sz w:val="21"/>
                <w:szCs w:val="21"/>
              </w:rPr>
              <w:t>等广泛引用，1篇为封面论文，</w:t>
            </w:r>
            <w:r>
              <w:rPr>
                <w:rFonts w:hint="eastAsia"/>
                <w:color w:val="0F1115"/>
                <w:sz w:val="21"/>
                <w:szCs w:val="21"/>
              </w:rPr>
              <w:t>2篇亮点论文、</w:t>
            </w:r>
            <w:r>
              <w:rPr>
                <w:color w:val="0F1115"/>
                <w:sz w:val="21"/>
                <w:szCs w:val="21"/>
              </w:rPr>
              <w:t>ESI高被引论文</w:t>
            </w:r>
            <w:r>
              <w:rPr>
                <w:rFonts w:hint="eastAsia"/>
                <w:color w:val="0F1115"/>
                <w:sz w:val="21"/>
                <w:szCs w:val="21"/>
              </w:rPr>
              <w:t>。</w:t>
            </w:r>
          </w:p>
        </w:tc>
      </w:tr>
      <w:tr w14:paraId="014AD5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83" w:hRule="atLeast"/>
          <w:jc w:val="center"/>
        </w:trPr>
        <w:tc>
          <w:tcPr>
            <w:tcW w:w="2269" w:type="dxa"/>
            <w:tcBorders>
              <w:right w:val="single" w:color="auto" w:sz="4" w:space="0"/>
            </w:tcBorders>
            <w:vAlign w:val="center"/>
          </w:tcPr>
          <w:p w14:paraId="3C8570EE">
            <w:pPr>
              <w:spacing w:line="440" w:lineRule="exact"/>
              <w:jc w:val="center"/>
              <w:rPr>
                <w:b/>
                <w:bCs/>
                <w:sz w:val="24"/>
                <w:szCs w:val="24"/>
              </w:rPr>
            </w:pPr>
            <w:r>
              <w:rPr>
                <w:b/>
                <w:bCs/>
                <w:sz w:val="24"/>
                <w:szCs w:val="24"/>
              </w:rPr>
              <w:t>提名书</w:t>
            </w:r>
          </w:p>
          <w:p w14:paraId="664A2011">
            <w:pPr>
              <w:spacing w:line="440" w:lineRule="exact"/>
              <w:jc w:val="center"/>
              <w:rPr>
                <w:b/>
                <w:bCs/>
                <w:sz w:val="24"/>
                <w:szCs w:val="24"/>
              </w:rPr>
            </w:pPr>
            <w:r>
              <w:rPr>
                <w:b/>
                <w:bCs/>
                <w:sz w:val="24"/>
                <w:szCs w:val="24"/>
              </w:rPr>
              <w:t>相关内容</w:t>
            </w:r>
          </w:p>
        </w:tc>
        <w:tc>
          <w:tcPr>
            <w:tcW w:w="7051" w:type="dxa"/>
            <w:tcBorders>
              <w:left w:val="single" w:color="auto" w:sz="4" w:space="0"/>
            </w:tcBorders>
            <w:vAlign w:val="center"/>
          </w:tcPr>
          <w:p w14:paraId="44BD2290">
            <w:pPr>
              <w:adjustRightInd w:val="0"/>
              <w:snapToGrid w:val="0"/>
              <w:rPr>
                <w:bCs/>
                <w:sz w:val="21"/>
                <w:szCs w:val="21"/>
              </w:rPr>
            </w:pPr>
            <w:r>
              <w:rPr>
                <w:bCs/>
                <w:sz w:val="21"/>
                <w:szCs w:val="21"/>
              </w:rPr>
              <w:t>提名书的代表性论文专著目录、主要知识产权和标准规范目录。</w:t>
            </w:r>
          </w:p>
          <w:p w14:paraId="26E3C7DB">
            <w:pPr>
              <w:pStyle w:val="2"/>
              <w:numPr>
                <w:ilvl w:val="0"/>
                <w:numId w:val="1"/>
              </w:numPr>
              <w:adjustRightInd w:val="0"/>
              <w:snapToGrid w:val="0"/>
              <w:spacing w:after="0"/>
              <w:ind w:left="0" w:firstLine="0"/>
              <w:rPr>
                <w:sz w:val="21"/>
                <w:szCs w:val="21"/>
              </w:rPr>
            </w:pPr>
            <w:r>
              <w:rPr>
                <w:sz w:val="21"/>
                <w:szCs w:val="21"/>
              </w:rPr>
              <w:t>Structural insights into photosystem II supercomplex and trimeric FCP antennae of a centric diatom Cyclotella meneghiniana. Nature Communications, 2023, 14, 8164</w:t>
            </w:r>
          </w:p>
          <w:p w14:paraId="0B76D25C">
            <w:pPr>
              <w:pStyle w:val="2"/>
              <w:numPr>
                <w:ilvl w:val="0"/>
                <w:numId w:val="1"/>
              </w:numPr>
              <w:adjustRightInd w:val="0"/>
              <w:snapToGrid w:val="0"/>
              <w:spacing w:after="0"/>
              <w:ind w:left="0" w:firstLine="0"/>
              <w:rPr>
                <w:sz w:val="21"/>
                <w:szCs w:val="21"/>
              </w:rPr>
            </w:pPr>
            <w:r>
              <w:rPr>
                <w:sz w:val="21"/>
                <w:szCs w:val="21"/>
              </w:rPr>
              <w:t>Role of an ancient light-harvesting protein of PSI in light absorption and photoprotection, Nature Communication, 2021, 12, 679</w:t>
            </w:r>
          </w:p>
          <w:p w14:paraId="6870D6EE">
            <w:pPr>
              <w:pStyle w:val="2"/>
              <w:numPr>
                <w:ilvl w:val="0"/>
                <w:numId w:val="1"/>
              </w:numPr>
              <w:adjustRightInd w:val="0"/>
              <w:snapToGrid w:val="0"/>
              <w:spacing w:after="0"/>
              <w:ind w:left="0" w:firstLine="0"/>
              <w:rPr>
                <w:sz w:val="21"/>
                <w:szCs w:val="21"/>
              </w:rPr>
            </w:pPr>
            <w:r>
              <w:rPr>
                <w:sz w:val="21"/>
                <w:szCs w:val="21"/>
              </w:rPr>
              <w:t>Knockdown of carbonate anhydrase elevates Nannochloropsis productivity at high CO2 level, Metabolic Engineering, 2019, 54:96-108</w:t>
            </w:r>
          </w:p>
          <w:p w14:paraId="4BF25B8D">
            <w:pPr>
              <w:pStyle w:val="2"/>
              <w:numPr>
                <w:ilvl w:val="0"/>
                <w:numId w:val="1"/>
              </w:numPr>
              <w:adjustRightInd w:val="0"/>
              <w:snapToGrid w:val="0"/>
              <w:spacing w:after="0"/>
              <w:ind w:left="0" w:firstLine="0"/>
              <w:rPr>
                <w:sz w:val="21"/>
                <w:szCs w:val="21"/>
              </w:rPr>
            </w:pPr>
            <w:r>
              <w:rPr>
                <w:sz w:val="21"/>
                <w:szCs w:val="21"/>
              </w:rPr>
              <w:t>Widespread sterol methyltransferase participates in the biosynthesis of both C4α- and C4β-methyl sterols, Journal of the American Chemical Society, 2022, 144: 9023–9032</w:t>
            </w:r>
          </w:p>
          <w:p w14:paraId="2BAF0A10">
            <w:pPr>
              <w:pStyle w:val="2"/>
              <w:numPr>
                <w:ilvl w:val="0"/>
                <w:numId w:val="1"/>
              </w:numPr>
              <w:adjustRightInd w:val="0"/>
              <w:snapToGrid w:val="0"/>
              <w:spacing w:after="0"/>
              <w:ind w:left="0" w:firstLine="0"/>
              <w:rPr>
                <w:sz w:val="21"/>
                <w:szCs w:val="21"/>
              </w:rPr>
            </w:pPr>
            <w:r>
              <w:rPr>
                <w:sz w:val="21"/>
                <w:szCs w:val="21"/>
              </w:rPr>
              <w:t>Producing designer oils in industrial microalgae by rational modulation of co-evolving type-2 diacylglycerol acyltransferases, Molecular Plant, 2017, 10:1523-1539</w:t>
            </w:r>
          </w:p>
          <w:p w14:paraId="7521D97B">
            <w:pPr>
              <w:pStyle w:val="2"/>
              <w:numPr>
                <w:ilvl w:val="0"/>
                <w:numId w:val="1"/>
              </w:numPr>
              <w:adjustRightInd w:val="0"/>
              <w:snapToGrid w:val="0"/>
              <w:spacing w:after="0"/>
              <w:ind w:left="0" w:firstLine="0"/>
              <w:rPr>
                <w:sz w:val="21"/>
                <w:szCs w:val="21"/>
              </w:rPr>
            </w:pPr>
            <w:r>
              <w:rPr>
                <w:sz w:val="21"/>
                <w:szCs w:val="21"/>
              </w:rPr>
              <w:t>Antagonistic roles of abscisic acid and cytokinin during response to nitrogen depletion in oleaginous microalga Nannochloropsis oceanica expand the evolutionary breadth of phytohormone function, Plant Journal, 2014, 80: 52-68</w:t>
            </w:r>
          </w:p>
          <w:p w14:paraId="2EA14370">
            <w:pPr>
              <w:pStyle w:val="2"/>
              <w:numPr>
                <w:ilvl w:val="0"/>
                <w:numId w:val="1"/>
              </w:numPr>
              <w:adjustRightInd w:val="0"/>
              <w:snapToGrid w:val="0"/>
              <w:spacing w:after="0"/>
              <w:ind w:left="0" w:firstLine="0"/>
              <w:rPr>
                <w:sz w:val="21"/>
                <w:szCs w:val="21"/>
              </w:rPr>
            </w:pPr>
            <w:r>
              <w:rPr>
                <w:sz w:val="21"/>
                <w:szCs w:val="21"/>
              </w:rPr>
              <w:t>RNAi-based targeted gene knockdown in the model oleaginous microalgae Nannochloropsis oceanica, Plant Journal, 2017, 89:1236-1250</w:t>
            </w:r>
          </w:p>
          <w:p w14:paraId="7BA4EDFC">
            <w:pPr>
              <w:pStyle w:val="2"/>
              <w:numPr>
                <w:ilvl w:val="0"/>
                <w:numId w:val="1"/>
              </w:numPr>
              <w:adjustRightInd w:val="0"/>
              <w:snapToGrid w:val="0"/>
              <w:spacing w:after="0"/>
              <w:ind w:left="0" w:firstLine="0"/>
              <w:rPr>
                <w:sz w:val="21"/>
                <w:szCs w:val="21"/>
              </w:rPr>
            </w:pPr>
            <w:r>
              <w:rPr>
                <w:sz w:val="21"/>
                <w:szCs w:val="21"/>
              </w:rPr>
              <w:t>Genome editing of model oleaginous microalgae Nannochloropsis spp. by CRISPR/Cas9, Plant Journal, 2016, 88:1071-1081</w:t>
            </w:r>
          </w:p>
        </w:tc>
      </w:tr>
      <w:tr w14:paraId="4F049D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54" w:hRule="atLeast"/>
          <w:jc w:val="center"/>
        </w:trPr>
        <w:tc>
          <w:tcPr>
            <w:tcW w:w="2269" w:type="dxa"/>
            <w:vAlign w:val="center"/>
          </w:tcPr>
          <w:p w14:paraId="2EF26FB6">
            <w:pPr>
              <w:spacing w:line="440" w:lineRule="exact"/>
              <w:jc w:val="center"/>
              <w:rPr>
                <w:b/>
                <w:bCs/>
                <w:sz w:val="24"/>
                <w:szCs w:val="24"/>
              </w:rPr>
            </w:pPr>
            <w:r>
              <w:rPr>
                <w:b/>
                <w:bCs/>
                <w:sz w:val="24"/>
                <w:szCs w:val="24"/>
              </w:rPr>
              <w:t>主要完成人</w:t>
            </w:r>
          </w:p>
          <w:p w14:paraId="25B45404">
            <w:pPr>
              <w:spacing w:line="440" w:lineRule="exact"/>
              <w:jc w:val="center"/>
              <w:rPr>
                <w:lang w:val="en"/>
              </w:rPr>
            </w:pPr>
            <w:r>
              <w:rPr>
                <w:b/>
                <w:bCs/>
                <w:sz w:val="24"/>
                <w:szCs w:val="24"/>
                <w:lang w:val="en"/>
              </w:rPr>
              <w:t>（排序、工作单位和贡献）</w:t>
            </w:r>
          </w:p>
        </w:tc>
        <w:tc>
          <w:tcPr>
            <w:tcW w:w="7051" w:type="dxa"/>
            <w:vAlign w:val="center"/>
          </w:tcPr>
          <w:p w14:paraId="1207D398">
            <w:pPr>
              <w:adjustRightInd w:val="0"/>
              <w:snapToGrid w:val="0"/>
              <w:rPr>
                <w:bCs/>
                <w:sz w:val="21"/>
                <w:szCs w:val="21"/>
              </w:rPr>
            </w:pPr>
            <w:r>
              <w:rPr>
                <w:bCs/>
                <w:sz w:val="21"/>
                <w:szCs w:val="21"/>
              </w:rPr>
              <w:t>1. 路延笃，海南大学，负责本项目的整体规划与开展。解析了LHCR、DGATs功能，发现了新型的C4-甲基甾醇生物合成路径；开发了CRISPR/Cas9基因编辑、叶绿体基因组编辑技术，是代表作2、4、5、6、7和8的主要完成人；</w:t>
            </w:r>
          </w:p>
          <w:p w14:paraId="514D178A">
            <w:pPr>
              <w:adjustRightInd w:val="0"/>
              <w:snapToGrid w:val="0"/>
              <w:rPr>
                <w:bCs/>
                <w:sz w:val="21"/>
                <w:szCs w:val="21"/>
              </w:rPr>
            </w:pPr>
            <w:r>
              <w:rPr>
                <w:bCs/>
                <w:sz w:val="21"/>
                <w:szCs w:val="21"/>
              </w:rPr>
              <w:t>2. 王文达，中国科学院植物所，破解了硅藻和甲藻等光合膜蛋白超分子结构和功能，是代表作1的主要完成人；</w:t>
            </w:r>
          </w:p>
          <w:p w14:paraId="158CFCDD">
            <w:pPr>
              <w:adjustRightInd w:val="0"/>
              <w:snapToGrid w:val="0"/>
              <w:rPr>
                <w:bCs/>
                <w:sz w:val="21"/>
                <w:szCs w:val="21"/>
              </w:rPr>
            </w:pPr>
            <w:r>
              <w:rPr>
                <w:bCs/>
                <w:sz w:val="21"/>
                <w:szCs w:val="21"/>
              </w:rPr>
              <w:t>3. 辛一，海南大学，解析了中性脂合成关键酶DGATs功能解析，开发了CRISPR/Cas9基因编辑、基因敲低技术，是代表作5、6、7和8的主要完成人；</w:t>
            </w:r>
          </w:p>
          <w:p w14:paraId="5CCD5F7C">
            <w:pPr>
              <w:adjustRightInd w:val="0"/>
              <w:snapToGrid w:val="0"/>
              <w:rPr>
                <w:bCs/>
                <w:sz w:val="21"/>
                <w:szCs w:val="21"/>
              </w:rPr>
            </w:pPr>
            <w:r>
              <w:rPr>
                <w:bCs/>
                <w:sz w:val="21"/>
                <w:szCs w:val="21"/>
              </w:rPr>
              <w:t>4. 魏力，海南师范大学，解析了碳浓缩机制，开发了CRISPR/Cas9基因编辑、基因敲低与CRISPRa激活技术，是代表作3、5、7和8主要完成人；</w:t>
            </w:r>
          </w:p>
          <w:p w14:paraId="4DD4F089">
            <w:pPr>
              <w:adjustRightInd w:val="0"/>
              <w:snapToGrid w:val="0"/>
              <w:rPr>
                <w:bCs/>
                <w:sz w:val="21"/>
                <w:szCs w:val="21"/>
              </w:rPr>
            </w:pPr>
            <w:r>
              <w:rPr>
                <w:bCs/>
                <w:sz w:val="21"/>
                <w:szCs w:val="21"/>
              </w:rPr>
              <w:t>5. 甘琴华，海南大学，解析了捕光天线蛋白LHCR</w:t>
            </w:r>
            <w:r>
              <w:rPr>
                <w:rFonts w:hint="eastAsia"/>
                <w:bCs/>
                <w:sz w:val="21"/>
                <w:szCs w:val="21"/>
              </w:rPr>
              <w:t>的</w:t>
            </w:r>
            <w:r>
              <w:rPr>
                <w:bCs/>
                <w:sz w:val="21"/>
                <w:szCs w:val="21"/>
              </w:rPr>
              <w:t>调控机制，发现了共合成C4α-/C4β-甲基甾醇的生物合成路径，开发了叶绿体基因组编辑技术，是代表作2和4的主要完成人；</w:t>
            </w:r>
          </w:p>
          <w:p w14:paraId="7D1CA576">
            <w:pPr>
              <w:adjustRightInd w:val="0"/>
              <w:snapToGrid w:val="0"/>
              <w:rPr>
                <w:bCs/>
                <w:sz w:val="21"/>
                <w:szCs w:val="21"/>
                <w:lang w:val="en"/>
              </w:rPr>
            </w:pPr>
            <w:r>
              <w:rPr>
                <w:bCs/>
                <w:sz w:val="21"/>
                <w:szCs w:val="21"/>
              </w:rPr>
              <w:t>6. 周文序，海南大学，重建了代表性海洋微藻的甾醇生物合成通路，发现共合成C4α-/C4β-甲基甾醇的生物合成路径</w:t>
            </w:r>
            <w:r>
              <w:rPr>
                <w:rFonts w:hint="eastAsia"/>
                <w:bCs/>
                <w:sz w:val="21"/>
                <w:szCs w:val="21"/>
              </w:rPr>
              <w:t>，</w:t>
            </w:r>
            <w:r>
              <w:rPr>
                <w:bCs/>
                <w:sz w:val="21"/>
                <w:szCs w:val="21"/>
              </w:rPr>
              <w:t>是代表作4的主要完成人。</w:t>
            </w:r>
          </w:p>
        </w:tc>
      </w:tr>
      <w:tr w14:paraId="3A7027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48" w:hRule="atLeast"/>
          <w:jc w:val="center"/>
        </w:trPr>
        <w:tc>
          <w:tcPr>
            <w:tcW w:w="2269" w:type="dxa"/>
            <w:vAlign w:val="center"/>
          </w:tcPr>
          <w:p w14:paraId="7F0AA975">
            <w:pPr>
              <w:spacing w:line="440" w:lineRule="exact"/>
              <w:jc w:val="center"/>
              <w:rPr>
                <w:b/>
                <w:bCs/>
                <w:sz w:val="24"/>
                <w:szCs w:val="24"/>
              </w:rPr>
            </w:pPr>
            <w:r>
              <w:rPr>
                <w:b/>
                <w:bCs/>
                <w:sz w:val="24"/>
                <w:szCs w:val="24"/>
              </w:rPr>
              <w:t>主要完成单位</w:t>
            </w:r>
          </w:p>
          <w:p w14:paraId="5713D940">
            <w:pPr>
              <w:pStyle w:val="9"/>
              <w:jc w:val="center"/>
              <w:rPr>
                <w:rFonts w:ascii="Times New Roman" w:hAnsi="Times New Roman"/>
              </w:rPr>
            </w:pPr>
            <w:r>
              <w:rPr>
                <w:rFonts w:ascii="Times New Roman" w:hAnsi="Times New Roman"/>
                <w:b/>
                <w:bCs/>
                <w:sz w:val="24"/>
                <w:szCs w:val="24"/>
              </w:rPr>
              <w:t>（排序和贡献）</w:t>
            </w:r>
          </w:p>
        </w:tc>
        <w:tc>
          <w:tcPr>
            <w:tcW w:w="7051" w:type="dxa"/>
            <w:vAlign w:val="center"/>
          </w:tcPr>
          <w:p w14:paraId="2F824DE2">
            <w:pPr>
              <w:adjustRightInd w:val="0"/>
              <w:snapToGrid w:val="0"/>
              <w:rPr>
                <w:bCs/>
                <w:sz w:val="21"/>
                <w:szCs w:val="21"/>
              </w:rPr>
            </w:pPr>
            <w:r>
              <w:rPr>
                <w:bCs/>
                <w:sz w:val="21"/>
                <w:szCs w:val="21"/>
              </w:rPr>
              <w:t>1.海南大学，排名1，支撑了项目创新点一、二、三的实现；同时，组织开展项目申报与立项和技术报告撰写等工作。</w:t>
            </w:r>
          </w:p>
          <w:p w14:paraId="34F2A494">
            <w:pPr>
              <w:adjustRightInd w:val="0"/>
              <w:snapToGrid w:val="0"/>
              <w:rPr>
                <w:bCs/>
                <w:sz w:val="21"/>
                <w:szCs w:val="21"/>
              </w:rPr>
            </w:pPr>
            <w:r>
              <w:rPr>
                <w:bCs/>
                <w:sz w:val="21"/>
                <w:szCs w:val="21"/>
              </w:rPr>
              <w:t>2.中国科学院植物研究所，排名2，支撑了项目创新点一的实现；</w:t>
            </w:r>
          </w:p>
          <w:p w14:paraId="5BA0948F">
            <w:pPr>
              <w:adjustRightInd w:val="0"/>
              <w:snapToGrid w:val="0"/>
              <w:rPr>
                <w:bCs/>
                <w:sz w:val="21"/>
                <w:szCs w:val="21"/>
              </w:rPr>
            </w:pPr>
            <w:r>
              <w:rPr>
                <w:bCs/>
                <w:sz w:val="21"/>
                <w:szCs w:val="21"/>
              </w:rPr>
              <w:t>3.海南师范大学，排名3，支撑了项目创新点一和三的实现。</w:t>
            </w:r>
          </w:p>
        </w:tc>
      </w:tr>
    </w:tbl>
    <w:p w14:paraId="13EBAD7B">
      <w:pPr>
        <w:spacing w:line="440" w:lineRule="exact"/>
      </w:pPr>
      <w:r>
        <w:rPr>
          <w:sz w:val="24"/>
          <w:szCs w:val="24"/>
        </w:rPr>
        <w:t>说明：</w:t>
      </w:r>
      <w:r>
        <w:rPr>
          <w:rFonts w:hint="eastAsia"/>
          <w:sz w:val="24"/>
          <w:szCs w:val="24"/>
        </w:rPr>
        <w:t>涉及国外的人和组织</w:t>
      </w:r>
      <w:r>
        <w:rPr>
          <w:sz w:val="24"/>
          <w:szCs w:val="24"/>
        </w:rPr>
        <w:t>科学技术合作奖可不用公示，其余奖项必须公示</w:t>
      </w:r>
      <w:r>
        <w:rPr>
          <w:b/>
          <w:bCs/>
          <w:sz w:val="24"/>
          <w:szCs w:val="24"/>
        </w:rPr>
        <w:t>至少7</w:t>
      </w:r>
      <w:r>
        <w:rPr>
          <w:b/>
          <w:bCs/>
          <w:sz w:val="24"/>
          <w:szCs w:val="24"/>
          <w:u w:val="wavyHeavy"/>
        </w:rPr>
        <w:t>日。</w:t>
      </w: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DDF2B6">
    <w:pPr>
      <w:pStyle w:val="3"/>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974090" cy="234950"/>
              <wp:effectExtent l="0" t="0" r="0" b="0"/>
              <wp:wrapNone/>
              <wp:docPr id="1" name="文本框 1"/>
              <wp:cNvGraphicFramePr/>
              <a:graphic xmlns:a="http://schemas.openxmlformats.org/drawingml/2006/main">
                <a:graphicData uri="http://schemas.microsoft.com/office/word/2010/wordprocessingShape">
                  <wps:wsp>
                    <wps:cNvSpPr txBox="1"/>
                    <wps:spPr>
                      <a:xfrm>
                        <a:off x="0" y="0"/>
                        <a:ext cx="974090" cy="234950"/>
                      </a:xfrm>
                      <a:prstGeom prst="rect">
                        <a:avLst/>
                      </a:prstGeom>
                      <a:noFill/>
                      <a:ln>
                        <a:noFill/>
                      </a:ln>
                    </wps:spPr>
                    <wps:txbx>
                      <w:txbxContent>
                        <w:p w14:paraId="076D82DD">
                          <w:pPr>
                            <w:snapToGrid w:val="0"/>
                            <w:rPr>
                              <w:szCs w:val="28"/>
                            </w:rPr>
                          </w:pPr>
                          <w:r>
                            <w:rPr>
                              <w:rFonts w:hint="eastAsia"/>
                              <w:szCs w:val="28"/>
                            </w:rPr>
                            <w:t xml:space="preserve">— </w:t>
                          </w:r>
                          <w:r>
                            <w:rPr>
                              <w:rFonts w:hint="eastAsia"/>
                              <w:szCs w:val="28"/>
                            </w:rPr>
                            <w:fldChar w:fldCharType="begin"/>
                          </w:r>
                          <w:r>
                            <w:rPr>
                              <w:rFonts w:hint="eastAsia"/>
                              <w:szCs w:val="28"/>
                            </w:rPr>
                            <w:instrText xml:space="preserve"> PAGE  \* MERGEFORMAT </w:instrText>
                          </w:r>
                          <w:r>
                            <w:rPr>
                              <w:rFonts w:hint="eastAsia"/>
                              <w:szCs w:val="28"/>
                            </w:rPr>
                            <w:fldChar w:fldCharType="separate"/>
                          </w:r>
                          <w:r>
                            <w:rPr>
                              <w:rFonts w:hint="eastAsia"/>
                              <w:szCs w:val="28"/>
                            </w:rPr>
                            <w:t>102</w:t>
                          </w:r>
                          <w:r>
                            <w:rPr>
                              <w:rFonts w:hint="eastAsia"/>
                              <w:szCs w:val="28"/>
                            </w:rPr>
                            <w:fldChar w:fldCharType="end"/>
                          </w:r>
                          <w:r>
                            <w:rPr>
                              <w:rFonts w:hint="eastAsia"/>
                              <w:szCs w:val="28"/>
                            </w:rPr>
                            <w:t xml:space="preserve"> —</w:t>
                          </w:r>
                        </w:p>
                      </w:txbxContent>
                    </wps:txbx>
                    <wps:bodyPr lIns="0" tIns="0" rIns="0" bIns="0"/>
                  </wps:wsp>
                </a:graphicData>
              </a:graphic>
            </wp:anchor>
          </w:drawing>
        </mc:Choice>
        <mc:Fallback>
          <w:pict>
            <v:shape id="_x0000_s1026" o:spid="_x0000_s1026" o:spt="202" type="#_x0000_t202" style="position:absolute;left:0pt;margin-top:0pt;height:18.5pt;width:76.7pt;mso-position-horizontal:outside;mso-position-horizontal-relative:margin;z-index:251659264;mso-width-relative:page;mso-height-relative:page;" filled="f" stroked="f" coordsize="21600,21600" o:gfxdata="UEsDBAoAAAAAAIdO4kAAAAAAAAAAAAAAAAAEAAAAZHJzL1BLAwQUAAAACACHTuJAwvvam9QAAAAE&#10;AQAADwAAAGRycy9kb3ducmV2LnhtbE2PzU7DMBCE70i8g7VI3KhdCqWEOBVCcEJCTcOhx028TazG&#10;6xC7P7w9Lhe4rDSa0cy3+fLkenGgMVjPGqYTBYK48cZyq+GzertZgAgR2WDvmTR8U4BlcXmRY2b8&#10;kUs6rGMrUgmHDDV0MQ6ZlKHpyGGY+IE4eVs/OoxJjq00Ix5TuevlrVJz6dByWuhwoJeOmt167zQ8&#10;b7h8tV8f9arclraqHhW/z3daX19N1ROISKf4F4YzfkKHIjHVfs8miF5DeiT+3rN3P7sDUWuYPSiQ&#10;RS7/wxc/UEsDBBQAAAAIAIdO4kADhu55tAEAAGUDAAAOAAAAZHJzL2Uyb0RvYy54bWytU82O0zAQ&#10;viPxDpbvNGlZfho1XQlVi5AQIC08gOvYjSXbY3m8TfoC8AacuHDnufocjN20C8tlD1yc8cz4m/m+&#10;mayuR2fZXkU04Fs+n9WcKS+hM37X8i+fb5695gyT8J2w4FXLDwr59frpk9UQGrWAHmynIiMQj80Q&#10;Wt6nFJqqQtkrJ3AGQXkKaohOJLrGXdVFMRC6s9Wirl9WA8QuRJAKkbybU5BPiPExgKC1kWoD8s4p&#10;n06oUVmRiBL2JiBfl261VjJ91BpVYrblxDSVk4qQvc1ntV6JZhdF6I2cWhCPaeEBJyeMp6IXqI1I&#10;gt1F8w+UMzICgk4zCa46ESmKEIt5/UCb214EVbiQ1BguouP/g5Uf9p8iMx1tAmdeOBr48fu3449f&#10;x59f2TzLMwRsKOs2UF4a38CYUyc/kjOzHnV0+Ut8GMVJ3MNFXDUmJsm5fHVVLykiKbR4frV8UcSv&#10;7h+HiOmtAsey0fJIsyuSiv17TFSQUs8puZaHG2NtmZ/1fzkoMXuq3Pmpw2ylcTtObW+hOxAb+86T&#10;knkrzkY8G9vJyGXzY1K/NDBtSh7vn/eSdf93rH8D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IQQAAFtDb250ZW50X1R5cGVzXS54bWxQSwECFAAK&#10;AAAAAACHTuJAAAAAAAAAAAAAAAAABgAAAAAAAAAAABAAAAADAwAAX3JlbHMvUEsBAhQAFAAAAAgA&#10;h07iQIoUZjzRAAAAlAEAAAsAAAAAAAAAAQAgAAAAJwMAAF9yZWxzLy5yZWxzUEsBAhQACgAAAAAA&#10;h07iQAAAAAAAAAAAAAAAAAQAAAAAAAAAAAAQAAAAAAAAAGRycy9QSwECFAAUAAAACACHTuJAwvva&#10;m9QAAAAEAQAADwAAAAAAAAABACAAAAAiAAAAZHJzL2Rvd25yZXYueG1sUEsBAhQAFAAAAAgAh07i&#10;QAOG7nm0AQAAZQMAAA4AAAAAAAAAAQAgAAAAIwEAAGRycy9lMm9Eb2MueG1sUEsFBgAAAAAGAAYA&#10;WQEAAEkFAAAAAA==&#10;">
              <v:fill on="f" focussize="0,0"/>
              <v:stroke on="f"/>
              <v:imagedata o:title=""/>
              <o:lock v:ext="edit" aspectratio="f"/>
              <v:textbox inset="0mm,0mm,0mm,0mm">
                <w:txbxContent>
                  <w:p w14:paraId="076D82DD">
                    <w:pPr>
                      <w:snapToGrid w:val="0"/>
                      <w:rPr>
                        <w:szCs w:val="28"/>
                      </w:rPr>
                    </w:pPr>
                    <w:r>
                      <w:rPr>
                        <w:rFonts w:hint="eastAsia"/>
                        <w:szCs w:val="28"/>
                      </w:rPr>
                      <w:t xml:space="preserve">— </w:t>
                    </w:r>
                    <w:r>
                      <w:rPr>
                        <w:rFonts w:hint="eastAsia"/>
                        <w:szCs w:val="28"/>
                      </w:rPr>
                      <w:fldChar w:fldCharType="begin"/>
                    </w:r>
                    <w:r>
                      <w:rPr>
                        <w:rFonts w:hint="eastAsia"/>
                        <w:szCs w:val="28"/>
                      </w:rPr>
                      <w:instrText xml:space="preserve"> PAGE  \* MERGEFORMAT </w:instrText>
                    </w:r>
                    <w:r>
                      <w:rPr>
                        <w:rFonts w:hint="eastAsia"/>
                        <w:szCs w:val="28"/>
                      </w:rPr>
                      <w:fldChar w:fldCharType="separate"/>
                    </w:r>
                    <w:r>
                      <w:rPr>
                        <w:rFonts w:hint="eastAsia"/>
                        <w:szCs w:val="28"/>
                      </w:rPr>
                      <w:t>102</w:t>
                    </w:r>
                    <w:r>
                      <w:rPr>
                        <w:rFonts w:hint="eastAsia"/>
                        <w:szCs w:val="28"/>
                      </w:rPr>
                      <w:fldChar w:fldCharType="end"/>
                    </w:r>
                    <w:r>
                      <w:rPr>
                        <w:rFonts w:hint="eastAsia"/>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83C1A4D"/>
    <w:multiLevelType w:val="multilevel"/>
    <w:tmpl w:val="383C1A4D"/>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TAxNjJkYWM4YjU5NDc4MWRkNzYxZGM2YjNlZWUzZGEifQ=="/>
  </w:docVars>
  <w:rsids>
    <w:rsidRoot w:val="00DC13AC"/>
    <w:rsid w:val="000A6AD2"/>
    <w:rsid w:val="00145544"/>
    <w:rsid w:val="001E7812"/>
    <w:rsid w:val="0020212E"/>
    <w:rsid w:val="003129C6"/>
    <w:rsid w:val="003B77FA"/>
    <w:rsid w:val="004023A9"/>
    <w:rsid w:val="004730BF"/>
    <w:rsid w:val="004F0ABB"/>
    <w:rsid w:val="005524E2"/>
    <w:rsid w:val="006A2B99"/>
    <w:rsid w:val="008466F3"/>
    <w:rsid w:val="008A213F"/>
    <w:rsid w:val="008C2A41"/>
    <w:rsid w:val="008E47D5"/>
    <w:rsid w:val="00917870"/>
    <w:rsid w:val="00AB621C"/>
    <w:rsid w:val="00B30B38"/>
    <w:rsid w:val="00B97606"/>
    <w:rsid w:val="00C4585C"/>
    <w:rsid w:val="00C83294"/>
    <w:rsid w:val="00CF645C"/>
    <w:rsid w:val="00D7558F"/>
    <w:rsid w:val="00DC13AC"/>
    <w:rsid w:val="00E07E83"/>
    <w:rsid w:val="00E53881"/>
    <w:rsid w:val="00E70432"/>
    <w:rsid w:val="00EE55AF"/>
    <w:rsid w:val="00F30348"/>
    <w:rsid w:val="18900BFF"/>
    <w:rsid w:val="1CEF25FC"/>
    <w:rsid w:val="391953AC"/>
    <w:rsid w:val="693E54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2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iPriority="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8"/>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14"/>
    <w:unhideWhenUsed/>
    <w:qFormat/>
    <w:uiPriority w:val="99"/>
    <w:pPr>
      <w:spacing w:after="120"/>
    </w:p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7">
    <w:name w:val="Strong"/>
    <w:basedOn w:val="6"/>
    <w:qFormat/>
    <w:uiPriority w:val="22"/>
    <w:rPr>
      <w:b/>
      <w:bCs/>
    </w:rPr>
  </w:style>
  <w:style w:type="character" w:styleId="8">
    <w:name w:val="Emphasis"/>
    <w:basedOn w:val="6"/>
    <w:qFormat/>
    <w:uiPriority w:val="20"/>
    <w:rPr>
      <w:i/>
      <w:iCs/>
    </w:rPr>
  </w:style>
  <w:style w:type="paragraph" w:customStyle="1" w:styleId="9">
    <w:name w:val="Default"/>
    <w:basedOn w:val="1"/>
    <w:qFormat/>
    <w:uiPriority w:val="0"/>
    <w:pPr>
      <w:autoSpaceDE w:val="0"/>
      <w:autoSpaceDN w:val="0"/>
      <w:adjustRightInd w:val="0"/>
      <w:jc w:val="left"/>
    </w:pPr>
    <w:rPr>
      <w:rFonts w:ascii="方正仿宋_GBK" w:hAnsi="方正仿宋_GBK"/>
    </w:rPr>
  </w:style>
  <w:style w:type="character" w:customStyle="1" w:styleId="10">
    <w:name w:val="title1"/>
    <w:qFormat/>
    <w:uiPriority w:val="0"/>
    <w:rPr>
      <w:b/>
      <w:bCs/>
      <w:color w:val="999900"/>
      <w:sz w:val="24"/>
      <w:szCs w:val="24"/>
    </w:rPr>
  </w:style>
  <w:style w:type="paragraph" w:styleId="11">
    <w:name w:val="List Paragraph"/>
    <w:basedOn w:val="1"/>
    <w:uiPriority w:val="99"/>
    <w:pPr>
      <w:ind w:firstLine="420" w:firstLineChars="200"/>
    </w:pPr>
  </w:style>
  <w:style w:type="character" w:customStyle="1" w:styleId="12">
    <w:name w:val="fontstyle01"/>
    <w:basedOn w:val="6"/>
    <w:qFormat/>
    <w:uiPriority w:val="0"/>
    <w:rPr>
      <w:rFonts w:hint="eastAsia" w:ascii="宋体" w:hAnsi="宋体" w:eastAsia="宋体"/>
      <w:color w:val="000000"/>
      <w:sz w:val="24"/>
      <w:szCs w:val="24"/>
    </w:rPr>
  </w:style>
  <w:style w:type="paragraph" w:customStyle="1" w:styleId="13">
    <w:name w:val="ds-markdown-paragraph"/>
    <w:basedOn w:val="1"/>
    <w:qFormat/>
    <w:uiPriority w:val="0"/>
    <w:pPr>
      <w:widowControl/>
      <w:spacing w:before="100" w:beforeAutospacing="1" w:after="100" w:afterAutospacing="1"/>
      <w:jc w:val="left"/>
    </w:pPr>
    <w:rPr>
      <w:rFonts w:ascii="宋体" w:hAnsi="宋体" w:cs="宋体"/>
      <w:kern w:val="0"/>
      <w:sz w:val="24"/>
      <w:szCs w:val="24"/>
    </w:rPr>
  </w:style>
  <w:style w:type="character" w:customStyle="1" w:styleId="14">
    <w:name w:val="正文文本 字符"/>
    <w:basedOn w:val="6"/>
    <w:link w:val="2"/>
    <w:qFormat/>
    <w:uiPriority w:val="99"/>
    <w:rPr>
      <w:rFonts w:ascii="Times New Roman" w:hAnsi="Times New Roman" w:eastAsia="宋体" w:cs="Times New Roman"/>
      <w:kern w:val="2"/>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1408</Words>
  <Characters>2546</Characters>
  <Lines>19</Lines>
  <Paragraphs>5</Paragraphs>
  <TotalTime>9</TotalTime>
  <ScaleCrop>false</ScaleCrop>
  <LinksUpToDate>false</LinksUpToDate>
  <CharactersWithSpaces>2728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2026-03-02T11:21:00Z</dcterms:created>
  <dc:creator>Lenovo</dc:creator>
  <cp:lastModifiedBy>借山而居</cp:lastModifiedBy>
  <cp:lastPrinted>2026-03-02T11:30:00Z</cp:lastPrinted>
  <dcterms:modified xsi:type="dcterms:W3CDTF">2026-03-03T10:47:05Z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19956DD264204C6EACFE593D00FA3774_12</vt:lpwstr>
  </property>
  <property fmtid="{D5CDD505-2E9C-101B-9397-08002B2CF9AE}" pid="4" name="KSOTemplateDocerSaveRecord">
    <vt:lpwstr>eyJoZGlkIjoiYTA3ZjU5OTVkMGY4ODQxN2NmMmRhOTYwYjcxYmRkNDEiLCJ1c2VySWQiOiI1NDYxNjEyMzAifQ==</vt:lpwstr>
  </property>
</Properties>
</file>