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4282A2">
      <w:pPr>
        <w:spacing w:line="100" w:lineRule="exact"/>
        <w:rPr>
          <w:color w:val="000000"/>
          <w:sz w:val="36"/>
          <w:szCs w:val="36"/>
        </w:rPr>
      </w:pPr>
      <w:bookmarkStart w:id="0" w:name="_Toc530473016"/>
    </w:p>
    <w:bookmarkEnd w:id="0"/>
    <w:p w14:paraId="009A6D94">
      <w:pPr>
        <w:spacing w:line="740" w:lineRule="exact"/>
        <w:jc w:val="center"/>
        <w:outlineLvl w:val="2"/>
        <w:rPr>
          <w:rFonts w:eastAsia="黑体"/>
          <w:color w:val="000000"/>
          <w:sz w:val="32"/>
          <w:szCs w:val="32"/>
        </w:rPr>
      </w:pPr>
      <w:bookmarkStart w:id="1" w:name="_Toc1827832502"/>
      <w:bookmarkStart w:id="2" w:name="_Toc2131911538"/>
      <w:bookmarkStart w:id="3" w:name="_Toc1550903188"/>
      <w:bookmarkStart w:id="4" w:name="_Toc1423068732"/>
      <w:bookmarkStart w:id="5" w:name="_Toc2124023149"/>
      <w:bookmarkStart w:id="6" w:name="_Toc175603519"/>
      <w:bookmarkStart w:id="7" w:name="_Toc357348418"/>
      <w:bookmarkStart w:id="8" w:name="_Toc1099067205"/>
      <w:r>
        <w:rPr>
          <w:rFonts w:hint="eastAsia" w:eastAsia="黑体"/>
          <w:color w:val="000000"/>
          <w:sz w:val="32"/>
          <w:szCs w:val="32"/>
        </w:rPr>
        <w:t>2025年度</w:t>
      </w:r>
      <w:r>
        <w:rPr>
          <w:rFonts w:eastAsia="黑体"/>
          <w:color w:val="000000"/>
          <w:sz w:val="32"/>
          <w:szCs w:val="32"/>
        </w:rPr>
        <w:t>海南省科学技术奖提名公示内容</w:t>
      </w:r>
      <w:bookmarkEnd w:id="1"/>
      <w:bookmarkEnd w:id="2"/>
      <w:bookmarkEnd w:id="3"/>
      <w:bookmarkEnd w:id="4"/>
      <w:bookmarkEnd w:id="5"/>
      <w:bookmarkEnd w:id="6"/>
      <w:bookmarkEnd w:id="7"/>
      <w:bookmarkEnd w:id="8"/>
    </w:p>
    <w:p w14:paraId="3F6A6962">
      <w:pPr>
        <w:spacing w:line="100" w:lineRule="exact"/>
        <w:jc w:val="center"/>
        <w:rPr>
          <w:rFonts w:eastAsia="仿宋_GB2312"/>
          <w:color w:val="000000"/>
          <w:sz w:val="32"/>
          <w:szCs w:val="32"/>
        </w:rPr>
      </w:pPr>
    </w:p>
    <w:p w14:paraId="7059AB4B">
      <w:pPr>
        <w:spacing w:line="440" w:lineRule="exact"/>
        <w:jc w:val="center"/>
        <w:rPr>
          <w:rFonts w:hint="eastAsia" w:ascii="宋体" w:hAnsi="宋体" w:cs="宋体"/>
          <w:szCs w:val="24"/>
        </w:rPr>
      </w:pPr>
      <w:r>
        <w:rPr>
          <w:rFonts w:hint="eastAsia" w:ascii="宋体" w:hAnsi="宋体" w:cs="宋体"/>
          <w:szCs w:val="24"/>
        </w:rPr>
        <w:t>（适用于项目主要完成单位、主要完成人所在单位）</w:t>
      </w:r>
    </w:p>
    <w:p w14:paraId="3B0D479E">
      <w:pPr>
        <w:spacing w:line="440" w:lineRule="exact"/>
        <w:rPr>
          <w:rFonts w:hint="eastAsia" w:ascii="宋体" w:hAnsi="宋体" w:cs="宋体"/>
          <w:szCs w:val="24"/>
        </w:rPr>
      </w:pPr>
    </w:p>
    <w:tbl>
      <w:tblPr>
        <w:tblStyle w:val="5"/>
        <w:tblW w:w="0" w:type="auto"/>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2269"/>
        <w:gridCol w:w="7051"/>
      </w:tblGrid>
      <w:tr w14:paraId="16F17D3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77" w:hRule="atLeast"/>
          <w:jc w:val="center"/>
        </w:trPr>
        <w:tc>
          <w:tcPr>
            <w:tcW w:w="2269" w:type="dxa"/>
            <w:vAlign w:val="center"/>
          </w:tcPr>
          <w:p w14:paraId="08EBEC70">
            <w:pPr>
              <w:jc w:val="center"/>
              <w:rPr>
                <w:rStyle w:val="8"/>
                <w:color w:val="auto"/>
              </w:rPr>
            </w:pPr>
            <w:r>
              <w:rPr>
                <w:rStyle w:val="8"/>
                <w:color w:val="auto"/>
              </w:rPr>
              <w:t>项目名称</w:t>
            </w:r>
          </w:p>
        </w:tc>
        <w:tc>
          <w:tcPr>
            <w:tcW w:w="7051" w:type="dxa"/>
            <w:vAlign w:val="center"/>
          </w:tcPr>
          <w:p w14:paraId="5DDA335E">
            <w:pPr>
              <w:jc w:val="center"/>
              <w:rPr>
                <w:rStyle w:val="8"/>
                <w:b w:val="0"/>
                <w:color w:val="auto"/>
                <w:sz w:val="28"/>
              </w:rPr>
            </w:pPr>
            <w:r>
              <w:rPr>
                <w:rStyle w:val="8"/>
                <w:rFonts w:hint="eastAsia"/>
                <w:b w:val="0"/>
                <w:color w:val="auto"/>
                <w:sz w:val="28"/>
              </w:rPr>
              <w:t>多糖基气凝胶多尺度结构设计与功能协同调控机制</w:t>
            </w:r>
          </w:p>
        </w:tc>
      </w:tr>
      <w:tr w14:paraId="6E1F375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36" w:hRule="atLeast"/>
          <w:jc w:val="center"/>
        </w:trPr>
        <w:tc>
          <w:tcPr>
            <w:tcW w:w="2269" w:type="dxa"/>
            <w:vAlign w:val="center"/>
          </w:tcPr>
          <w:p w14:paraId="495D2ED9">
            <w:pPr>
              <w:jc w:val="center"/>
              <w:rPr>
                <w:rStyle w:val="8"/>
                <w:color w:val="auto"/>
              </w:rPr>
            </w:pPr>
            <w:r>
              <w:rPr>
                <w:rStyle w:val="8"/>
                <w:color w:val="auto"/>
              </w:rPr>
              <w:t>提名奖项及等级</w:t>
            </w:r>
          </w:p>
        </w:tc>
        <w:tc>
          <w:tcPr>
            <w:tcW w:w="7051" w:type="dxa"/>
            <w:vAlign w:val="center"/>
          </w:tcPr>
          <w:p w14:paraId="16DB1772">
            <w:pPr>
              <w:jc w:val="center"/>
              <w:rPr>
                <w:rStyle w:val="8"/>
                <w:b w:val="0"/>
                <w:color w:val="auto"/>
                <w:sz w:val="28"/>
              </w:rPr>
            </w:pPr>
            <w:r>
              <w:rPr>
                <w:rStyle w:val="8"/>
                <w:rFonts w:hint="eastAsia"/>
                <w:b w:val="0"/>
                <w:color w:val="auto"/>
                <w:sz w:val="28"/>
              </w:rPr>
              <w:t>自然科学奖</w:t>
            </w:r>
            <w:bookmarkStart w:id="11" w:name="_GoBack"/>
            <w:bookmarkEnd w:id="11"/>
            <w:r>
              <w:rPr>
                <w:rStyle w:val="8"/>
                <w:rFonts w:hint="eastAsia"/>
                <w:b w:val="0"/>
                <w:color w:val="auto"/>
                <w:sz w:val="28"/>
              </w:rPr>
              <w:t>二等奖</w:t>
            </w:r>
          </w:p>
        </w:tc>
      </w:tr>
      <w:tr w14:paraId="6F4643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398" w:hRule="atLeast"/>
          <w:jc w:val="center"/>
        </w:trPr>
        <w:tc>
          <w:tcPr>
            <w:tcW w:w="2269" w:type="dxa"/>
            <w:vAlign w:val="center"/>
          </w:tcPr>
          <w:p w14:paraId="3E9C11E0">
            <w:pPr>
              <w:jc w:val="center"/>
              <w:rPr>
                <w:b/>
                <w:bCs/>
                <w:sz w:val="24"/>
                <w:szCs w:val="24"/>
                <w:lang w:val="en"/>
              </w:rPr>
            </w:pPr>
            <w:r>
              <w:rPr>
                <w:rStyle w:val="8"/>
                <w:color w:val="auto"/>
              </w:rPr>
              <w:t>提名者</w:t>
            </w:r>
          </w:p>
        </w:tc>
        <w:tc>
          <w:tcPr>
            <w:tcW w:w="7051" w:type="dxa"/>
            <w:vAlign w:val="center"/>
          </w:tcPr>
          <w:p w14:paraId="04669A9E">
            <w:pPr>
              <w:contextualSpacing/>
              <w:jc w:val="center"/>
              <w:rPr>
                <w:bCs/>
                <w:sz w:val="24"/>
                <w:szCs w:val="24"/>
              </w:rPr>
            </w:pPr>
            <w:r>
              <w:rPr>
                <w:rFonts w:hint="eastAsia"/>
                <w:sz w:val="24"/>
                <w:szCs w:val="32"/>
              </w:rPr>
              <w:t>海南大学</w:t>
            </w:r>
          </w:p>
        </w:tc>
      </w:tr>
      <w:tr w14:paraId="1DD280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87" w:hRule="atLeast"/>
          <w:jc w:val="center"/>
        </w:trPr>
        <w:tc>
          <w:tcPr>
            <w:tcW w:w="2269" w:type="dxa"/>
            <w:tcBorders>
              <w:right w:val="single" w:color="auto" w:sz="4" w:space="0"/>
            </w:tcBorders>
            <w:vAlign w:val="center"/>
          </w:tcPr>
          <w:p w14:paraId="7598E78E">
            <w:pPr>
              <w:spacing w:line="440" w:lineRule="exact"/>
              <w:jc w:val="center"/>
              <w:rPr>
                <w:b/>
                <w:bCs/>
                <w:sz w:val="24"/>
                <w:szCs w:val="24"/>
              </w:rPr>
            </w:pPr>
            <w:r>
              <w:rPr>
                <w:b/>
                <w:bCs/>
                <w:sz w:val="24"/>
                <w:szCs w:val="24"/>
              </w:rPr>
              <w:t>项目简介（1200字以内）</w:t>
            </w:r>
          </w:p>
        </w:tc>
        <w:tc>
          <w:tcPr>
            <w:tcW w:w="7051" w:type="dxa"/>
            <w:tcBorders>
              <w:left w:val="single" w:color="auto" w:sz="4" w:space="0"/>
            </w:tcBorders>
            <w:vAlign w:val="center"/>
          </w:tcPr>
          <w:p w14:paraId="50F82B6C">
            <w:pPr>
              <w:spacing w:line="440" w:lineRule="exact"/>
              <w:ind w:firstLine="480" w:firstLineChars="200"/>
              <w:rPr>
                <w:bCs/>
                <w:sz w:val="24"/>
                <w:szCs w:val="24"/>
              </w:rPr>
            </w:pPr>
            <w:r>
              <w:rPr>
                <w:bCs/>
                <w:sz w:val="24"/>
                <w:szCs w:val="24"/>
              </w:rPr>
              <w:t>气凝胶凭借其超高的孔隙率、极低的密度和优异的比表面积，在隔热、药物缓释、环境吸附、能源存储等领域展现出巨大潜力。然而，传统二氧化硅气凝胶尽管具有出色的绝热性能，但其固有的脆性和环境稳定性差（易吸湿坍塌）严重限制了实际应用。石油基高分子气凝胶虽具备更好的力学性能，但其不可降解性、高成本和复杂制备工艺制约了可持续发展需求。天然多糖因可再生、可降解、生物相容性和丰富的官能团成为理想的气凝胶基体材料。然而，多糖基气凝胶仍面临关键挑战：高孔隙率与力学性能的矛盾，环境稳定性不足，功能单一化等瓶颈问题。</w:t>
            </w:r>
          </w:p>
          <w:p w14:paraId="5BA6A081">
            <w:pPr>
              <w:spacing w:line="440" w:lineRule="exact"/>
              <w:ind w:firstLine="480" w:firstLineChars="200"/>
              <w:rPr>
                <w:bCs/>
                <w:sz w:val="24"/>
                <w:szCs w:val="24"/>
              </w:rPr>
            </w:pPr>
            <w:r>
              <w:rPr>
                <w:bCs/>
                <w:sz w:val="24"/>
                <w:szCs w:val="24"/>
              </w:rPr>
              <w:t>本项目以天然多糖为基体，通过多尺度结构设计与功能协同调控，突破高孔隙率与力学性能、环境稳定性的矛盾，开发了系列高性能多糖基气凝胶材料。研究内容涵盖：（1）多糖基气凝胶高孔隙结构构建同步力学增强；（2）精准凝胶动力学调控实现大尺寸均匀塑形</w:t>
            </w:r>
            <w:r>
              <w:rPr>
                <w:rFonts w:hint="eastAsia"/>
                <w:bCs/>
                <w:sz w:val="24"/>
                <w:szCs w:val="24"/>
              </w:rPr>
              <w:t>；</w:t>
            </w:r>
            <w:r>
              <w:rPr>
                <w:bCs/>
                <w:sz w:val="24"/>
                <w:szCs w:val="24"/>
              </w:rPr>
              <w:t>（3）“顶部修饰”策略突破功能化改性瓶颈。</w:t>
            </w:r>
          </w:p>
          <w:p w14:paraId="22685FA3">
            <w:pPr>
              <w:spacing w:line="440" w:lineRule="exact"/>
              <w:rPr>
                <w:bCs/>
                <w:sz w:val="24"/>
                <w:szCs w:val="24"/>
              </w:rPr>
            </w:pPr>
            <w:r>
              <w:rPr>
                <w:b/>
                <w:bCs/>
                <w:sz w:val="24"/>
                <w:szCs w:val="24"/>
              </w:rPr>
              <w:t>科学发现点及创新性：</w:t>
            </w:r>
          </w:p>
          <w:p w14:paraId="1929C3D6">
            <w:pPr>
              <w:numPr>
                <w:ilvl w:val="0"/>
                <w:numId w:val="1"/>
              </w:numPr>
              <w:spacing w:line="440" w:lineRule="exact"/>
              <w:rPr>
                <w:bCs/>
                <w:sz w:val="24"/>
                <w:szCs w:val="24"/>
              </w:rPr>
            </w:pPr>
            <w:r>
              <w:rPr>
                <w:b/>
                <w:bCs/>
                <w:sz w:val="24"/>
                <w:szCs w:val="24"/>
              </w:rPr>
              <w:t>多路径多糖基气凝胶高孔隙结构构建同步力学增强新思路：提出了“凝胶-冷冻协同调控”策略，解析了“同相/异相”多级增强机制。</w:t>
            </w:r>
            <w:r>
              <w:rPr>
                <w:bCs/>
                <w:sz w:val="24"/>
                <w:szCs w:val="24"/>
              </w:rPr>
              <w:t>通过系统研究离子交联速率与冷冻梯度参数的耦合作用，阐明多糖分子在定向冷冻过程中的自组装机制，成功构建高孔隙多糖气凝胶结构，深入揭示了有机高分子网络与无机纳米粒子的界面相互作用机制，解决了传统方法难以兼顾高孔隙率与结构稳定性的关键科学问题。</w:t>
            </w:r>
          </w:p>
          <w:p w14:paraId="724AB77D">
            <w:pPr>
              <w:numPr>
                <w:ilvl w:val="0"/>
                <w:numId w:val="1"/>
              </w:numPr>
              <w:spacing w:line="440" w:lineRule="exact"/>
              <w:rPr>
                <w:bCs/>
                <w:sz w:val="24"/>
                <w:szCs w:val="24"/>
              </w:rPr>
            </w:pPr>
            <w:r>
              <w:rPr>
                <w:b/>
                <w:bCs/>
                <w:sz w:val="24"/>
                <w:szCs w:val="24"/>
              </w:rPr>
              <w:t>凝胶过程精准控制及多糖基气凝胶可控塑形新策略：</w:t>
            </w:r>
            <w:r>
              <w:rPr>
                <w:bCs/>
                <w:sz w:val="24"/>
                <w:szCs w:val="24"/>
              </w:rPr>
              <w:t>通过多维度调控技术，实现了从分子交联到宏观结构的精准控制，突破了大尺寸均匀气凝胶可控制备的技术瓶颈。建立离子缓释-凝胶动力学协同调控新体系，解析多糖高分子可控凝胶机理；开创阻燃-结构一体化设计新策略，揭示多糖气凝胶自熄阻燃机制；发展多模式凝胶加速新技术，提出协同促凝新策略</w:t>
            </w:r>
            <w:r>
              <w:rPr>
                <w:rFonts w:hint="eastAsia"/>
                <w:bCs/>
                <w:sz w:val="24"/>
                <w:szCs w:val="24"/>
              </w:rPr>
              <w:t>，解析促凝机理</w:t>
            </w:r>
            <w:r>
              <w:rPr>
                <w:bCs/>
                <w:sz w:val="24"/>
                <w:szCs w:val="24"/>
              </w:rPr>
              <w:t>。</w:t>
            </w:r>
          </w:p>
          <w:p w14:paraId="376E32F1">
            <w:pPr>
              <w:numPr>
                <w:ilvl w:val="0"/>
                <w:numId w:val="1"/>
              </w:numPr>
              <w:spacing w:line="440" w:lineRule="exact"/>
              <w:rPr>
                <w:bCs/>
                <w:sz w:val="24"/>
                <w:szCs w:val="24"/>
              </w:rPr>
            </w:pPr>
            <w:r>
              <w:rPr>
                <w:b/>
                <w:bCs/>
                <w:sz w:val="24"/>
                <w:szCs w:val="24"/>
              </w:rPr>
              <w:t>“顶部修饰”策略实现多糖气凝胶性能跨维度提升：</w:t>
            </w:r>
            <w:r>
              <w:rPr>
                <w:bCs/>
                <w:sz w:val="24"/>
                <w:szCs w:val="24"/>
              </w:rPr>
              <w:t>通过表面能精准调控和分子界面工程，直接对气凝胶基体实施精准功能化</w:t>
            </w:r>
            <w:r>
              <w:rPr>
                <w:rFonts w:hint="eastAsia"/>
                <w:bCs/>
                <w:sz w:val="24"/>
                <w:szCs w:val="24"/>
              </w:rPr>
              <w:t>。设计了低温等离子体辅助气相沉积新工艺，揭示原位活化</w:t>
            </w:r>
            <w:r>
              <w:rPr>
                <w:bCs/>
                <w:sz w:val="24"/>
                <w:szCs w:val="24"/>
              </w:rPr>
              <w:t>-</w:t>
            </w:r>
            <w:r>
              <w:rPr>
                <w:rFonts w:hint="eastAsia"/>
                <w:bCs/>
                <w:sz w:val="24"/>
                <w:szCs w:val="24"/>
              </w:rPr>
              <w:t>接枝机制；解析了</w:t>
            </w:r>
            <w:r>
              <w:rPr>
                <w:bCs/>
                <w:sz w:val="24"/>
                <w:szCs w:val="24"/>
              </w:rPr>
              <w:t>气凝胶增强与活性位点协同提升新</w:t>
            </w:r>
            <w:r>
              <w:rPr>
                <w:rFonts w:hint="eastAsia"/>
                <w:bCs/>
                <w:sz w:val="24"/>
                <w:szCs w:val="24"/>
              </w:rPr>
              <w:t>机制，突破传统交联导致的活性位点掩蔽效应，建立</w:t>
            </w:r>
            <w:r>
              <w:rPr>
                <w:bCs/>
                <w:sz w:val="24"/>
                <w:szCs w:val="24"/>
              </w:rPr>
              <w:t>乙二胺四乙酸二酐</w:t>
            </w:r>
            <w:r>
              <w:rPr>
                <w:rFonts w:hint="eastAsia"/>
                <w:bCs/>
                <w:sz w:val="24"/>
                <w:szCs w:val="24"/>
              </w:rPr>
              <w:t>接枝新方法。</w:t>
            </w:r>
            <w:r>
              <w:rPr>
                <w:bCs/>
                <w:sz w:val="24"/>
                <w:szCs w:val="24"/>
              </w:rPr>
              <w:t>规避前驱体修饰与凝胶化过程的互斥性问题，实现高效的功能化修饰。</w:t>
            </w:r>
          </w:p>
          <w:p w14:paraId="05F8333E">
            <w:pPr>
              <w:spacing w:line="440" w:lineRule="exact"/>
              <w:ind w:firstLine="480" w:firstLineChars="200"/>
              <w:rPr>
                <w:bCs/>
                <w:sz w:val="24"/>
                <w:szCs w:val="24"/>
              </w:rPr>
            </w:pPr>
            <w:r>
              <w:rPr>
                <w:bCs/>
                <w:sz w:val="24"/>
                <w:szCs w:val="24"/>
              </w:rPr>
              <w:t>这些研究成果不仅深化了对生物基多孔材料构效关系的认识，在高孔隙结构构建同步力学增强</w:t>
            </w:r>
            <w:r>
              <w:rPr>
                <w:rFonts w:hint="eastAsia"/>
                <w:bCs/>
                <w:sz w:val="24"/>
                <w:szCs w:val="24"/>
              </w:rPr>
              <w:t>的</w:t>
            </w:r>
            <w:r>
              <w:rPr>
                <w:bCs/>
                <w:sz w:val="24"/>
                <w:szCs w:val="24"/>
              </w:rPr>
              <w:t>同时</w:t>
            </w:r>
            <w:r>
              <w:rPr>
                <w:rFonts w:hint="eastAsia"/>
                <w:bCs/>
                <w:sz w:val="24"/>
                <w:szCs w:val="24"/>
              </w:rPr>
              <w:t>，</w:t>
            </w:r>
            <w:r>
              <w:rPr>
                <w:bCs/>
                <w:sz w:val="24"/>
                <w:szCs w:val="24"/>
              </w:rPr>
              <w:t>实现气凝胶超低导热、超疏水、自熄性及磁性等多功能集成，填补生物基气凝胶性能空白。本项目相关成果共发表论文29篇，其中SCI论文</w:t>
            </w:r>
            <w:r>
              <w:rPr>
                <w:rFonts w:hint="eastAsia"/>
                <w:bCs/>
                <w:sz w:val="24"/>
                <w:szCs w:val="24"/>
              </w:rPr>
              <w:t>1</w:t>
            </w:r>
            <w:r>
              <w:rPr>
                <w:bCs/>
                <w:sz w:val="24"/>
                <w:szCs w:val="24"/>
              </w:rPr>
              <w:t>7篇，获国家发明专利3项，编写专著1部，获省级奖励6项。8篇代表性论文均发表于中国科学院JCR分区一区的Top期刊，总影响因子达97.2，总SCI他引用次数719次，被国际权威学者（包括Gustav Nyström、俞书宏、蒋剑春等院士专家）广泛引用并高度评价，相关成果在</w:t>
            </w:r>
            <w:r>
              <w:rPr>
                <w:bCs/>
                <w:i/>
                <w:iCs/>
                <w:sz w:val="24"/>
                <w:szCs w:val="24"/>
              </w:rPr>
              <w:t>Angewandte Chemie International Edition</w:t>
            </w:r>
            <w:r>
              <w:rPr>
                <w:bCs/>
                <w:sz w:val="24"/>
                <w:szCs w:val="24"/>
              </w:rPr>
              <w:t>、</w:t>
            </w:r>
            <w:r>
              <w:rPr>
                <w:rFonts w:hint="eastAsia" w:eastAsia="仿宋_GB2312"/>
                <w:bCs/>
                <w:sz w:val="24"/>
                <w:szCs w:val="24"/>
              </w:rPr>
              <w:t>Nano Energy</w:t>
            </w:r>
            <w:r>
              <w:rPr>
                <w:bCs/>
                <w:sz w:val="24"/>
                <w:szCs w:val="24"/>
              </w:rPr>
              <w:t>、</w:t>
            </w:r>
            <w:r>
              <w:rPr>
                <w:bCs/>
                <w:i/>
                <w:iCs/>
                <w:sz w:val="24"/>
                <w:szCs w:val="24"/>
              </w:rPr>
              <w:t>Advanced Functional Materials</w:t>
            </w:r>
            <w:r>
              <w:rPr>
                <w:bCs/>
                <w:sz w:val="24"/>
                <w:szCs w:val="24"/>
              </w:rPr>
              <w:t>等国际顶刊中被多次引用。</w:t>
            </w:r>
          </w:p>
        </w:tc>
      </w:tr>
      <w:tr w14:paraId="31C1BAD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465" w:hRule="atLeast"/>
          <w:jc w:val="center"/>
        </w:trPr>
        <w:tc>
          <w:tcPr>
            <w:tcW w:w="2269" w:type="dxa"/>
            <w:tcBorders>
              <w:right w:val="single" w:color="auto" w:sz="4" w:space="0"/>
            </w:tcBorders>
            <w:vAlign w:val="center"/>
          </w:tcPr>
          <w:p w14:paraId="2F92EAB1">
            <w:pPr>
              <w:spacing w:line="440" w:lineRule="exact"/>
              <w:jc w:val="center"/>
              <w:rPr>
                <w:b/>
                <w:bCs/>
                <w:sz w:val="24"/>
                <w:szCs w:val="24"/>
              </w:rPr>
            </w:pPr>
            <w:r>
              <w:rPr>
                <w:b/>
                <w:bCs/>
                <w:sz w:val="24"/>
                <w:szCs w:val="24"/>
              </w:rPr>
              <w:t>提名书</w:t>
            </w:r>
          </w:p>
          <w:p w14:paraId="324254A7">
            <w:pPr>
              <w:spacing w:line="440" w:lineRule="exact"/>
              <w:jc w:val="center"/>
              <w:rPr>
                <w:b/>
                <w:bCs/>
                <w:sz w:val="24"/>
                <w:szCs w:val="24"/>
              </w:rPr>
            </w:pPr>
            <w:r>
              <w:rPr>
                <w:b/>
                <w:bCs/>
                <w:sz w:val="24"/>
                <w:szCs w:val="24"/>
              </w:rPr>
              <w:t>相关内容</w:t>
            </w:r>
          </w:p>
        </w:tc>
        <w:tc>
          <w:tcPr>
            <w:tcW w:w="7051" w:type="dxa"/>
            <w:tcBorders>
              <w:left w:val="single" w:color="auto" w:sz="4" w:space="0"/>
            </w:tcBorders>
            <w:vAlign w:val="center"/>
          </w:tcPr>
          <w:p w14:paraId="2A1530EF">
            <w:pPr>
              <w:numPr>
                <w:ilvl w:val="0"/>
                <w:numId w:val="2"/>
              </w:numPr>
              <w:spacing w:line="440" w:lineRule="exact"/>
              <w:ind w:left="360" w:hanging="360" w:hangingChars="150"/>
              <w:jc w:val="left"/>
              <w:rPr>
                <w:bCs/>
                <w:sz w:val="24"/>
                <w:szCs w:val="24"/>
              </w:rPr>
            </w:pPr>
            <w:r>
              <w:rPr>
                <w:bCs/>
                <w:sz w:val="24"/>
                <w:szCs w:val="24"/>
              </w:rPr>
              <w:t xml:space="preserve">Yi Cheng, Lingbin Lu*, Wuyuan Zhang, Jianjun Shi, Yang Cao. Reinforced low density alginate-based aerogels: preparation, hydrophobic modification and characterization. </w:t>
            </w:r>
            <w:r>
              <w:rPr>
                <w:bCs/>
                <w:i/>
                <w:sz w:val="24"/>
                <w:szCs w:val="24"/>
              </w:rPr>
              <w:t>Carbohydrate Polymers</w:t>
            </w:r>
            <w:r>
              <w:rPr>
                <w:bCs/>
                <w:sz w:val="24"/>
                <w:szCs w:val="24"/>
              </w:rPr>
              <w:t>, 2012, 88(3): 1093-1099.</w:t>
            </w:r>
          </w:p>
          <w:p w14:paraId="0A031486">
            <w:pPr>
              <w:numPr>
                <w:ilvl w:val="0"/>
                <w:numId w:val="2"/>
              </w:numPr>
              <w:spacing w:line="440" w:lineRule="exact"/>
              <w:ind w:left="360" w:hanging="360" w:hangingChars="150"/>
              <w:jc w:val="left"/>
              <w:rPr>
                <w:bCs/>
                <w:sz w:val="24"/>
                <w:szCs w:val="24"/>
              </w:rPr>
            </w:pPr>
            <w:r>
              <w:rPr>
                <w:bCs/>
                <w:sz w:val="24"/>
                <w:szCs w:val="24"/>
              </w:rPr>
              <w:t>Jianjun Shi, Lingbin Lu*, Wantao Guo, Jingying Zhang, Yang Cao. Heat insulation performance, mechanics and hydrophobic modification of cellulose-SiO</w:t>
            </w:r>
            <w:r>
              <w:rPr>
                <w:bCs/>
                <w:sz w:val="24"/>
                <w:szCs w:val="24"/>
                <w:vertAlign w:val="subscript"/>
              </w:rPr>
              <w:t>2</w:t>
            </w:r>
            <w:r>
              <w:rPr>
                <w:bCs/>
                <w:sz w:val="24"/>
                <w:szCs w:val="24"/>
              </w:rPr>
              <w:t xml:space="preserve"> composite aerogels.</w:t>
            </w:r>
            <w:r>
              <w:rPr>
                <w:bCs/>
                <w:i/>
                <w:sz w:val="24"/>
                <w:szCs w:val="24"/>
              </w:rPr>
              <w:t xml:space="preserve"> Carbohydrate Polymers</w:t>
            </w:r>
            <w:r>
              <w:rPr>
                <w:bCs/>
                <w:sz w:val="24"/>
                <w:szCs w:val="24"/>
              </w:rPr>
              <w:t xml:space="preserve">, 2013, 98(1): 282-289. </w:t>
            </w:r>
          </w:p>
          <w:p w14:paraId="33370809">
            <w:pPr>
              <w:numPr>
                <w:ilvl w:val="0"/>
                <w:numId w:val="2"/>
              </w:numPr>
              <w:spacing w:line="440" w:lineRule="exact"/>
              <w:ind w:left="360" w:hanging="360" w:hangingChars="150"/>
              <w:jc w:val="left"/>
              <w:rPr>
                <w:bCs/>
                <w:sz w:val="24"/>
                <w:szCs w:val="24"/>
              </w:rPr>
            </w:pPr>
            <w:r>
              <w:rPr>
                <w:bCs/>
                <w:sz w:val="24"/>
                <w:szCs w:val="24"/>
              </w:rPr>
              <w:t xml:space="preserve">Runjun Lin, Ang Li, Lingbin Lu*, Yang Cao. Preparation of bulk sodium carboxymethyl cellulose aerogels with tunable morphology. </w:t>
            </w:r>
            <w:r>
              <w:rPr>
                <w:bCs/>
                <w:i/>
                <w:sz w:val="24"/>
                <w:szCs w:val="24"/>
              </w:rPr>
              <w:t>Carbohydrate Polymers</w:t>
            </w:r>
            <w:r>
              <w:rPr>
                <w:bCs/>
                <w:sz w:val="24"/>
                <w:szCs w:val="24"/>
              </w:rPr>
              <w:t>, 2015, 118(1): 126-132.</w:t>
            </w:r>
          </w:p>
          <w:p w14:paraId="613C1350">
            <w:pPr>
              <w:numPr>
                <w:ilvl w:val="0"/>
                <w:numId w:val="2"/>
              </w:numPr>
              <w:spacing w:line="440" w:lineRule="exact"/>
              <w:ind w:left="360" w:hanging="360" w:hangingChars="150"/>
              <w:jc w:val="left"/>
              <w:rPr>
                <w:bCs/>
                <w:sz w:val="24"/>
                <w:szCs w:val="24"/>
              </w:rPr>
            </w:pPr>
            <w:r>
              <w:rPr>
                <w:bCs/>
                <w:sz w:val="24"/>
                <w:szCs w:val="24"/>
              </w:rPr>
              <w:t xml:space="preserve">Ang Li, Runjun Lin, Chong Lin, Bianyang He, Tingting Zheng, Lingbin Lu*, Yang Cao. An environment-friendly and multi-functional absorbent from chitosan for organic pollutants and heavy metal ion. </w:t>
            </w:r>
            <w:r>
              <w:rPr>
                <w:bCs/>
                <w:i/>
                <w:sz w:val="24"/>
                <w:szCs w:val="24"/>
              </w:rPr>
              <w:t>Carbohydrate Polymers</w:t>
            </w:r>
            <w:r>
              <w:rPr>
                <w:bCs/>
                <w:sz w:val="24"/>
                <w:szCs w:val="24"/>
              </w:rPr>
              <w:t>, 2016, 148: 272-280.</w:t>
            </w:r>
          </w:p>
          <w:p w14:paraId="58BDE04B">
            <w:pPr>
              <w:numPr>
                <w:ilvl w:val="0"/>
                <w:numId w:val="2"/>
              </w:numPr>
              <w:spacing w:line="440" w:lineRule="exact"/>
              <w:ind w:left="360" w:hanging="360" w:hangingChars="150"/>
              <w:jc w:val="left"/>
              <w:rPr>
                <w:bCs/>
                <w:sz w:val="24"/>
                <w:szCs w:val="24"/>
              </w:rPr>
            </w:pPr>
            <w:r>
              <w:rPr>
                <w:bCs/>
                <w:sz w:val="24"/>
                <w:szCs w:val="24"/>
              </w:rPr>
              <w:t xml:space="preserve">Zhanying Li, Lin Shao, Wenbin Hu, Tingting Zheng, Lingbin Lu*, Yang Cao, Yongjun Chen. Excellent reusable chitosan/cellulose aerogel as an oil and organic solvent absorbent. </w:t>
            </w:r>
            <w:r>
              <w:rPr>
                <w:bCs/>
                <w:i/>
                <w:sz w:val="24"/>
                <w:szCs w:val="24"/>
              </w:rPr>
              <w:t>Carbohydrate Polymers</w:t>
            </w:r>
            <w:r>
              <w:rPr>
                <w:bCs/>
                <w:sz w:val="24"/>
                <w:szCs w:val="24"/>
              </w:rPr>
              <w:t>, 2018, 191: 183-190.</w:t>
            </w:r>
          </w:p>
          <w:p w14:paraId="07527D3C">
            <w:pPr>
              <w:numPr>
                <w:ilvl w:val="0"/>
                <w:numId w:val="2"/>
              </w:numPr>
              <w:spacing w:line="440" w:lineRule="exact"/>
              <w:ind w:left="360" w:hanging="360" w:hangingChars="150"/>
              <w:jc w:val="left"/>
              <w:rPr>
                <w:bCs/>
                <w:sz w:val="24"/>
                <w:szCs w:val="24"/>
              </w:rPr>
            </w:pPr>
            <w:r>
              <w:rPr>
                <w:bCs/>
                <w:sz w:val="24"/>
                <w:szCs w:val="24"/>
              </w:rPr>
              <w:t xml:space="preserve">Zhanying Li, Lin Shao, Zehai Ruan, Wenbin Hu, Lingbin Lu*, Yongjun Chen. Converting untreated waste office paper and chitosan into aerogel adsorbent for the removal of heavy metal ions. </w:t>
            </w:r>
            <w:r>
              <w:rPr>
                <w:bCs/>
                <w:i/>
                <w:sz w:val="24"/>
                <w:szCs w:val="24"/>
              </w:rPr>
              <w:t>Carbohydrate Polymers</w:t>
            </w:r>
            <w:r>
              <w:rPr>
                <w:bCs/>
                <w:sz w:val="24"/>
                <w:szCs w:val="24"/>
              </w:rPr>
              <w:t xml:space="preserve">, 2018, 193: 221-227. </w:t>
            </w:r>
          </w:p>
          <w:p w14:paraId="029B0E10">
            <w:pPr>
              <w:numPr>
                <w:ilvl w:val="0"/>
                <w:numId w:val="2"/>
              </w:numPr>
              <w:spacing w:line="440" w:lineRule="exact"/>
              <w:ind w:left="360" w:hanging="360" w:hangingChars="150"/>
              <w:jc w:val="left"/>
              <w:rPr>
                <w:bCs/>
                <w:sz w:val="24"/>
                <w:szCs w:val="24"/>
              </w:rPr>
            </w:pPr>
            <w:r>
              <w:rPr>
                <w:bCs/>
                <w:sz w:val="24"/>
                <w:szCs w:val="24"/>
              </w:rPr>
              <w:t xml:space="preserve">Wenbin Hu, Lingbin Lu*, Zhanying Li, Lin Shao. A facile slow-gel method for bulk Al-doped carboxymethyl cellulose aerogels with excellent ﬂame retardancy. </w:t>
            </w:r>
            <w:bookmarkStart w:id="9" w:name="OLE_LINK4"/>
            <w:r>
              <w:rPr>
                <w:bCs/>
                <w:i/>
                <w:sz w:val="24"/>
                <w:szCs w:val="24"/>
              </w:rPr>
              <w:t>Carbohydrate Polymers</w:t>
            </w:r>
            <w:bookmarkEnd w:id="9"/>
            <w:r>
              <w:rPr>
                <w:bCs/>
                <w:sz w:val="24"/>
                <w:szCs w:val="24"/>
              </w:rPr>
              <w:t>, 2019, 207:352</w:t>
            </w:r>
            <w:bookmarkStart w:id="10" w:name="OLE_LINK5"/>
            <w:r>
              <w:rPr>
                <w:bCs/>
                <w:sz w:val="24"/>
                <w:szCs w:val="24"/>
              </w:rPr>
              <w:t>-</w:t>
            </w:r>
            <w:bookmarkEnd w:id="10"/>
            <w:r>
              <w:rPr>
                <w:bCs/>
                <w:sz w:val="24"/>
                <w:szCs w:val="24"/>
              </w:rPr>
              <w:t xml:space="preserve">361. </w:t>
            </w:r>
          </w:p>
          <w:p w14:paraId="35B66808">
            <w:pPr>
              <w:numPr>
                <w:ilvl w:val="0"/>
                <w:numId w:val="2"/>
              </w:numPr>
              <w:spacing w:line="440" w:lineRule="exact"/>
              <w:ind w:left="360" w:hanging="360" w:hangingChars="150"/>
              <w:jc w:val="left"/>
              <w:rPr>
                <w:bCs/>
                <w:sz w:val="24"/>
                <w:szCs w:val="24"/>
              </w:rPr>
            </w:pPr>
            <w:r>
              <w:rPr>
                <w:bCs/>
                <w:sz w:val="24"/>
                <w:szCs w:val="24"/>
              </w:rPr>
              <w:t>Shize Li, Yaping Li, Zi Fu, Lingbin Lu*, Jingru Cheng, Yongsheng Fei</w:t>
            </w:r>
            <w:r>
              <w:rPr>
                <w:rFonts w:hint="eastAsia"/>
                <w:bCs/>
                <w:sz w:val="24"/>
                <w:szCs w:val="24"/>
              </w:rPr>
              <w:t>.</w:t>
            </w:r>
            <w:r>
              <w:rPr>
                <w:bCs/>
                <w:sz w:val="24"/>
                <w:szCs w:val="24"/>
              </w:rPr>
              <w:t xml:space="preserve"> A ‘top modification’ strategy for enhancing the ability of a chitosan aerogel to efficiently capture heavy metal ions</w:t>
            </w:r>
            <w:r>
              <w:rPr>
                <w:rFonts w:hint="eastAsia"/>
                <w:bCs/>
                <w:sz w:val="24"/>
                <w:szCs w:val="24"/>
              </w:rPr>
              <w:t>.</w:t>
            </w:r>
            <w:r>
              <w:rPr>
                <w:bCs/>
                <w:sz w:val="24"/>
                <w:szCs w:val="24"/>
              </w:rPr>
              <w:t xml:space="preserve"> </w:t>
            </w:r>
            <w:r>
              <w:rPr>
                <w:bCs/>
                <w:i/>
                <w:iCs/>
                <w:sz w:val="24"/>
                <w:szCs w:val="24"/>
              </w:rPr>
              <w:t>Journal of Colloid and Interface Science</w:t>
            </w:r>
            <w:r>
              <w:rPr>
                <w:bCs/>
                <w:sz w:val="24"/>
                <w:szCs w:val="24"/>
              </w:rPr>
              <w:t>, 2021, 504:141-149.</w:t>
            </w:r>
          </w:p>
        </w:tc>
      </w:tr>
      <w:tr w14:paraId="4CBB025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54" w:hRule="atLeast"/>
          <w:jc w:val="center"/>
        </w:trPr>
        <w:tc>
          <w:tcPr>
            <w:tcW w:w="2269" w:type="dxa"/>
            <w:vAlign w:val="center"/>
          </w:tcPr>
          <w:p w14:paraId="7028E1CD">
            <w:pPr>
              <w:spacing w:line="440" w:lineRule="exact"/>
              <w:jc w:val="center"/>
              <w:rPr>
                <w:b/>
                <w:bCs/>
                <w:sz w:val="24"/>
                <w:szCs w:val="24"/>
              </w:rPr>
            </w:pPr>
            <w:r>
              <w:rPr>
                <w:b/>
                <w:bCs/>
                <w:sz w:val="24"/>
                <w:szCs w:val="24"/>
              </w:rPr>
              <w:t>主要完成人</w:t>
            </w:r>
          </w:p>
          <w:p w14:paraId="6B6B7BAB">
            <w:pPr>
              <w:spacing w:line="440" w:lineRule="exact"/>
              <w:jc w:val="center"/>
              <w:rPr>
                <w:lang w:val="en"/>
              </w:rPr>
            </w:pPr>
            <w:r>
              <w:rPr>
                <w:b/>
                <w:bCs/>
                <w:sz w:val="24"/>
                <w:szCs w:val="24"/>
                <w:lang w:val="en"/>
              </w:rPr>
              <w:t>（排序、工作单位和贡献）</w:t>
            </w:r>
          </w:p>
        </w:tc>
        <w:tc>
          <w:tcPr>
            <w:tcW w:w="7051" w:type="dxa"/>
            <w:vAlign w:val="center"/>
          </w:tcPr>
          <w:p w14:paraId="101C91D3">
            <w:pPr>
              <w:spacing w:line="440" w:lineRule="exact"/>
              <w:rPr>
                <w:bCs/>
                <w:sz w:val="24"/>
                <w:szCs w:val="24"/>
              </w:rPr>
            </w:pPr>
            <w:r>
              <w:rPr>
                <w:rFonts w:hint="eastAsia"/>
                <w:bCs/>
                <w:sz w:val="24"/>
                <w:szCs w:val="24"/>
              </w:rPr>
              <w:t>1.卢凌彬，排名1，海南大学，项目总负责人，总体设计者。领导团队的整体研究工作，提出学术思想，指导和设计理论框架，主持分析和总结研究成果，是主要支撑项目的负责人。对科学创新点1、2和3做出了创造性贡献，是本项目所有8篇代表性论文的通讯作者，提出了多糖基高分子的气凝胶化技术、塑形策略和性能修饰方法的设计思想。</w:t>
            </w:r>
          </w:p>
          <w:p w14:paraId="3313183B">
            <w:pPr>
              <w:spacing w:line="440" w:lineRule="exact"/>
              <w:rPr>
                <w:bCs/>
                <w:sz w:val="24"/>
                <w:szCs w:val="24"/>
              </w:rPr>
            </w:pPr>
            <w:r>
              <w:rPr>
                <w:rFonts w:hint="eastAsia"/>
                <w:bCs/>
                <w:sz w:val="24"/>
                <w:szCs w:val="24"/>
              </w:rPr>
              <w:t>2.郑婷婷，排名2，琼台师范学院，主要负责本项目实施工作，掌握了气凝胶制备技术和应用的前沿动态，参与实施、数据分析和总结研究成果，是本项目的核心成员；对本项目创新点1和创新点3做出了重要贡献，完成了气凝胶表面冷等离子体疏水技术和海洋油污吸附的应用，提出了应用纳米纤维素增强纤维素气凝胶的增强技术，是本项目代表性论文4和5的作者及其他论文中论文1的第一作者。</w:t>
            </w:r>
          </w:p>
          <w:p w14:paraId="575E038C">
            <w:pPr>
              <w:spacing w:line="440" w:lineRule="exact"/>
              <w:rPr>
                <w:bCs/>
                <w:sz w:val="24"/>
                <w:szCs w:val="24"/>
              </w:rPr>
            </w:pPr>
            <w:r>
              <w:rPr>
                <w:rFonts w:hint="eastAsia"/>
                <w:bCs/>
                <w:sz w:val="24"/>
                <w:szCs w:val="24"/>
              </w:rPr>
              <w:t>3.石建军，排名3，海南师范大学，研究骨干，掌握了多糖基气凝胶的前沿动态，负责气凝胶的高孔隙结构构建与力学增强的构效关系以及疏水技术的深入探索，为本项目的设计和实施提供了支撑；作为主要研究人员参与了本项目支撑项目2013年海南省自然科学基金项目，为本项目创新点1和创新点2做出创造性贡献，完成了气凝胶构效关系的探索和气凝胶表面冷等离子体疏水技术的应用，提出了应用纳米二氧化硅增强纤维素气凝胶的异相增强技术，是本项目代表性论文2的第一作者。</w:t>
            </w:r>
          </w:p>
        </w:tc>
      </w:tr>
      <w:tr w14:paraId="64FFBE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48" w:hRule="atLeast"/>
          <w:jc w:val="center"/>
        </w:trPr>
        <w:tc>
          <w:tcPr>
            <w:tcW w:w="2269" w:type="dxa"/>
            <w:vAlign w:val="center"/>
          </w:tcPr>
          <w:p w14:paraId="3D551CA5">
            <w:pPr>
              <w:spacing w:line="440" w:lineRule="exact"/>
              <w:jc w:val="center"/>
              <w:rPr>
                <w:b/>
                <w:bCs/>
                <w:sz w:val="24"/>
                <w:szCs w:val="24"/>
              </w:rPr>
            </w:pPr>
            <w:r>
              <w:rPr>
                <w:b/>
                <w:bCs/>
                <w:sz w:val="24"/>
                <w:szCs w:val="24"/>
              </w:rPr>
              <w:t>主要完成单位</w:t>
            </w:r>
          </w:p>
          <w:p w14:paraId="0538AE67">
            <w:pPr>
              <w:pStyle w:val="7"/>
              <w:jc w:val="center"/>
              <w:rPr>
                <w:rFonts w:ascii="Times New Roman" w:hAnsi="Times New Roman"/>
              </w:rPr>
            </w:pPr>
            <w:r>
              <w:rPr>
                <w:rFonts w:ascii="Times New Roman" w:hAnsi="Times New Roman"/>
                <w:b/>
                <w:bCs/>
                <w:sz w:val="24"/>
                <w:szCs w:val="24"/>
              </w:rPr>
              <w:t>（排序和贡献）</w:t>
            </w:r>
          </w:p>
        </w:tc>
        <w:tc>
          <w:tcPr>
            <w:tcW w:w="7051" w:type="dxa"/>
            <w:vAlign w:val="center"/>
          </w:tcPr>
          <w:p w14:paraId="540F2B5F">
            <w:pPr>
              <w:spacing w:line="440" w:lineRule="exact"/>
              <w:jc w:val="left"/>
              <w:rPr>
                <w:bCs/>
                <w:sz w:val="24"/>
                <w:szCs w:val="24"/>
              </w:rPr>
            </w:pPr>
            <w:r>
              <w:rPr>
                <w:bCs/>
                <w:sz w:val="24"/>
                <w:szCs w:val="24"/>
              </w:rPr>
              <w:t>1.</w:t>
            </w:r>
            <w:r>
              <w:rPr>
                <w:rFonts w:hint="eastAsia"/>
                <w:bCs/>
                <w:sz w:val="24"/>
                <w:szCs w:val="24"/>
              </w:rPr>
              <w:t>海南大学</w:t>
            </w:r>
            <w:r>
              <w:rPr>
                <w:bCs/>
                <w:sz w:val="24"/>
                <w:szCs w:val="24"/>
              </w:rPr>
              <w:t>，</w:t>
            </w:r>
            <w:r>
              <w:rPr>
                <w:rFonts w:hint="eastAsia"/>
                <w:bCs/>
                <w:sz w:val="24"/>
                <w:szCs w:val="24"/>
              </w:rPr>
              <w:t>本项目唯一完成单位。提出了天然多糖高分子与气凝胶高孔隙结构相结合的设计思路，通过结构调控和力学增强的方式，实现了多糖基气凝胶高孔隙结构和良好力学性能的结合，形成了对其构效关系的充分理解；建立了凝胶速率控制机制，提出了块体状多糖基气凝胶的塑形技术，成功实现了对各类水凝胶塑形过程的控制；通过金属离子化学同步交联-掺杂技术，在塑形同时成功将其从易燃物转变成为难燃物，突破了多糖高分子易燃的局限，为实际应用奠定了重要基础；创新性地提出了“顶部修饰”策略，成功在保持结构稳定性的同时实现对多糖气凝胶的功能化改性和性能增强。</w:t>
            </w:r>
          </w:p>
        </w:tc>
      </w:tr>
    </w:tbl>
    <w:p w14:paraId="424A1EF1">
      <w:pPr>
        <w:spacing w:line="440" w:lineRule="exact"/>
      </w:pPr>
      <w:r>
        <w:rPr>
          <w:sz w:val="24"/>
          <w:szCs w:val="24"/>
        </w:rPr>
        <w:t>说明：</w:t>
      </w:r>
      <w:r>
        <w:rPr>
          <w:rFonts w:hint="eastAsia"/>
          <w:sz w:val="24"/>
          <w:szCs w:val="24"/>
        </w:rPr>
        <w:t>涉及国外的人和组织</w:t>
      </w:r>
      <w:r>
        <w:rPr>
          <w:sz w:val="24"/>
          <w:szCs w:val="24"/>
        </w:rPr>
        <w:t>科学技术合作奖可不用公示，其余奖项必须公示</w:t>
      </w:r>
      <w:r>
        <w:rPr>
          <w:b/>
          <w:bCs/>
          <w:sz w:val="24"/>
          <w:szCs w:val="24"/>
        </w:rPr>
        <w:t>至少7</w:t>
      </w:r>
      <w:r>
        <w:rPr>
          <w:b/>
          <w:bCs/>
          <w:sz w:val="24"/>
          <w:szCs w:val="24"/>
          <w:u w:val="wavyHeavy"/>
        </w:rPr>
        <w:t>日。</w:t>
      </w:r>
    </w:p>
    <w:p w14:paraId="3091EAA7">
      <w:pPr>
        <w:spacing w:line="440" w:lineRule="exact"/>
      </w:pPr>
    </w:p>
    <w:sectPr>
      <w:footerReference r:id="rId3"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0A55E0">
    <w:pPr>
      <w:pStyle w:val="3"/>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974090" cy="234950"/>
              <wp:effectExtent l="0" t="0" r="0" b="0"/>
              <wp:wrapNone/>
              <wp:docPr id="1" name="文本框 1"/>
              <wp:cNvGraphicFramePr/>
              <a:graphic xmlns:a="http://schemas.openxmlformats.org/drawingml/2006/main">
                <a:graphicData uri="http://schemas.microsoft.com/office/word/2010/wordprocessingShape">
                  <wps:wsp>
                    <wps:cNvSpPr txBox="1"/>
                    <wps:spPr>
                      <a:xfrm>
                        <a:off x="0" y="0"/>
                        <a:ext cx="974090" cy="234950"/>
                      </a:xfrm>
                      <a:prstGeom prst="rect">
                        <a:avLst/>
                      </a:prstGeom>
                      <a:noFill/>
                      <a:ln>
                        <a:noFill/>
                      </a:ln>
                    </wps:spPr>
                    <wps:txbx>
                      <w:txbxContent>
                        <w:p w14:paraId="399017C3">
                          <w:pPr>
                            <w:snapToGrid w:val="0"/>
                            <w:rPr>
                              <w:szCs w:val="28"/>
                            </w:rPr>
                          </w:pPr>
                          <w:r>
                            <w:rPr>
                              <w:rFonts w:hint="eastAsia"/>
                              <w:szCs w:val="28"/>
                            </w:rPr>
                            <w:t xml:space="preserve">— </w:t>
                          </w:r>
                          <w:r>
                            <w:rPr>
                              <w:rFonts w:hint="eastAsia"/>
                              <w:szCs w:val="28"/>
                            </w:rPr>
                            <w:fldChar w:fldCharType="begin"/>
                          </w:r>
                          <w:r>
                            <w:rPr>
                              <w:rFonts w:hint="eastAsia"/>
                              <w:szCs w:val="28"/>
                            </w:rPr>
                            <w:instrText xml:space="preserve"> PAGE  \* MERGEFORMAT </w:instrText>
                          </w:r>
                          <w:r>
                            <w:rPr>
                              <w:rFonts w:hint="eastAsia"/>
                              <w:szCs w:val="28"/>
                            </w:rPr>
                            <w:fldChar w:fldCharType="separate"/>
                          </w:r>
                          <w:r>
                            <w:rPr>
                              <w:rFonts w:hint="eastAsia"/>
                              <w:szCs w:val="28"/>
                            </w:rPr>
                            <w:t>102</w:t>
                          </w:r>
                          <w:r>
                            <w:rPr>
                              <w:rFonts w:hint="eastAsia"/>
                              <w:szCs w:val="28"/>
                            </w:rPr>
                            <w:fldChar w:fldCharType="end"/>
                          </w:r>
                          <w:r>
                            <w:rPr>
                              <w:rFonts w:hint="eastAsia"/>
                              <w:szCs w:val="28"/>
                            </w:rPr>
                            <w:t xml:space="preserve"> —</w:t>
                          </w:r>
                        </w:p>
                      </w:txbxContent>
                    </wps:txbx>
                    <wps:bodyPr lIns="0" tIns="0" rIns="0" bIns="0"/>
                  </wps:wsp>
                </a:graphicData>
              </a:graphic>
            </wp:anchor>
          </w:drawing>
        </mc:Choice>
        <mc:Fallback>
          <w:pict>
            <v:shape id="_x0000_s1026" o:spid="_x0000_s1026" o:spt="202" type="#_x0000_t202" style="position:absolute;left:0pt;margin-top:0pt;height:18.5pt;width:76.7pt;mso-position-horizontal:outside;mso-position-horizontal-relative:margin;z-index:251659264;mso-width-relative:page;mso-height-relative:page;" filled="f" stroked="f" coordsize="21600,21600" o:gfxdata="UEsDBAoAAAAAAIdO4kAAAAAAAAAAAAAAAAAEAAAAZHJzL1BLAwQUAAAACACHTuJAwvvam9QAAAAE&#10;AQAADwAAAGRycy9kb3ducmV2LnhtbE2PzU7DMBCE70i8g7VI3KhdCqWEOBVCcEJCTcOhx028TazG&#10;6xC7P7w9Lhe4rDSa0cy3+fLkenGgMVjPGqYTBYK48cZyq+GzertZgAgR2WDvmTR8U4BlcXmRY2b8&#10;kUs6rGMrUgmHDDV0MQ6ZlKHpyGGY+IE4eVs/OoxJjq00Ix5TuevlrVJz6dByWuhwoJeOmt167zQ8&#10;b7h8tV8f9arclraqHhW/z3daX19N1ROISKf4F4YzfkKHIjHVfs8miF5DeiT+3rN3P7sDUWuYPSiQ&#10;RS7/wxc/UEsDBBQAAAAIAIdO4kADhu55tAEAAGUDAAAOAAAAZHJzL2Uyb0RvYy54bWytU82O0zAQ&#10;viPxDpbvNGlZfho1XQlVi5AQIC08gOvYjSXbY3m8TfoC8AacuHDnufocjN20C8tlD1yc8cz4m/m+&#10;mayuR2fZXkU04Fs+n9WcKS+hM37X8i+fb5695gyT8J2w4FXLDwr59frpk9UQGrWAHmynIiMQj80Q&#10;Wt6nFJqqQtkrJ3AGQXkKaohOJLrGXdVFMRC6s9Wirl9WA8QuRJAKkbybU5BPiPExgKC1kWoD8s4p&#10;n06oUVmRiBL2JiBfl261VjJ91BpVYrblxDSVk4qQvc1ntV6JZhdF6I2cWhCPaeEBJyeMp6IXqI1I&#10;gt1F8w+UMzICgk4zCa46ESmKEIt5/UCb214EVbiQ1BguouP/g5Uf9p8iMx1tAmdeOBr48fu3449f&#10;x59f2TzLMwRsKOs2UF4a38CYUyc/kjOzHnV0+Ut8GMVJ3MNFXDUmJsm5fHVVLykiKbR4frV8UcSv&#10;7h+HiOmtAsey0fJIsyuSiv17TFSQUs8puZaHG2NtmZ/1fzkoMXuq3Pmpw2ylcTtObW+hOxAb+86T&#10;knkrzkY8G9vJyGXzY1K/NDBtSh7vn/eSdf93rH8D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wvva&#10;m9QAAAAEAQAADwAAAAAAAAABACAAAAAiAAAAZHJzL2Rvd25yZXYueG1sUEsBAhQAFAAAAAgAh07i&#10;QAOG7nm0AQAAZQMAAA4AAAAAAAAAAQAgAAAAIwEAAGRycy9lMm9Eb2MueG1sUEsFBgAAAAAGAAYA&#10;WQEAAEkFAAAAAA==&#10;">
              <v:fill on="f" focussize="0,0"/>
              <v:stroke on="f"/>
              <v:imagedata o:title=""/>
              <o:lock v:ext="edit" aspectratio="f"/>
              <v:textbox inset="0mm,0mm,0mm,0mm">
                <w:txbxContent>
                  <w:p w14:paraId="399017C3">
                    <w:pPr>
                      <w:snapToGrid w:val="0"/>
                      <w:rPr>
                        <w:szCs w:val="28"/>
                      </w:rPr>
                    </w:pPr>
                    <w:r>
                      <w:rPr>
                        <w:rFonts w:hint="eastAsia"/>
                        <w:szCs w:val="28"/>
                      </w:rPr>
                      <w:t xml:space="preserve">— </w:t>
                    </w:r>
                    <w:r>
                      <w:rPr>
                        <w:rFonts w:hint="eastAsia"/>
                        <w:szCs w:val="28"/>
                      </w:rPr>
                      <w:fldChar w:fldCharType="begin"/>
                    </w:r>
                    <w:r>
                      <w:rPr>
                        <w:rFonts w:hint="eastAsia"/>
                        <w:szCs w:val="28"/>
                      </w:rPr>
                      <w:instrText xml:space="preserve"> PAGE  \* MERGEFORMAT </w:instrText>
                    </w:r>
                    <w:r>
                      <w:rPr>
                        <w:rFonts w:hint="eastAsia"/>
                        <w:szCs w:val="28"/>
                      </w:rPr>
                      <w:fldChar w:fldCharType="separate"/>
                    </w:r>
                    <w:r>
                      <w:rPr>
                        <w:rFonts w:hint="eastAsia"/>
                        <w:szCs w:val="28"/>
                      </w:rPr>
                      <w:t>102</w:t>
                    </w:r>
                    <w:r>
                      <w:rPr>
                        <w:rFonts w:hint="eastAsia"/>
                        <w:szCs w:val="28"/>
                      </w:rPr>
                      <w:fldChar w:fldCharType="end"/>
                    </w:r>
                    <w:r>
                      <w:rPr>
                        <w:rFonts w:hint="eastAsia"/>
                        <w:szCs w:val="28"/>
                      </w:rPr>
                      <w:t xml:space="preserve"> —</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B04064F"/>
    <w:multiLevelType w:val="multilevel"/>
    <w:tmpl w:val="2B04064F"/>
    <w:lvl w:ilvl="0" w:tentative="0">
      <w:start w:val="1"/>
      <w:numFmt w:val="decimal"/>
      <w:lvlText w:val="%1)"/>
      <w:lvlJc w:val="left"/>
      <w:pPr>
        <w:tabs>
          <w:tab w:val="left" w:pos="360"/>
        </w:tabs>
        <w:ind w:left="360" w:hanging="360"/>
      </w:pPr>
    </w:lvl>
    <w:lvl w:ilvl="1" w:tentative="0">
      <w:start w:val="1"/>
      <w:numFmt w:val="decimal"/>
      <w:lvlText w:val="%2."/>
      <w:lvlJc w:val="left"/>
      <w:pPr>
        <w:tabs>
          <w:tab w:val="left" w:pos="1080"/>
        </w:tabs>
        <w:ind w:left="1080" w:hanging="360"/>
      </w:pPr>
    </w:lvl>
    <w:lvl w:ilvl="2" w:tentative="0">
      <w:start w:val="1"/>
      <w:numFmt w:val="decimal"/>
      <w:lvlText w:val="%3."/>
      <w:lvlJc w:val="left"/>
      <w:pPr>
        <w:tabs>
          <w:tab w:val="left" w:pos="1800"/>
        </w:tabs>
        <w:ind w:left="1800" w:hanging="360"/>
      </w:pPr>
    </w:lvl>
    <w:lvl w:ilvl="3" w:tentative="0">
      <w:start w:val="1"/>
      <w:numFmt w:val="decimal"/>
      <w:lvlText w:val="%4."/>
      <w:lvlJc w:val="left"/>
      <w:pPr>
        <w:tabs>
          <w:tab w:val="left" w:pos="2520"/>
        </w:tabs>
        <w:ind w:left="2520" w:hanging="360"/>
      </w:pPr>
    </w:lvl>
    <w:lvl w:ilvl="4" w:tentative="0">
      <w:start w:val="1"/>
      <w:numFmt w:val="decimal"/>
      <w:lvlText w:val="%5."/>
      <w:lvlJc w:val="left"/>
      <w:pPr>
        <w:tabs>
          <w:tab w:val="left" w:pos="3240"/>
        </w:tabs>
        <w:ind w:left="3240" w:hanging="360"/>
      </w:pPr>
    </w:lvl>
    <w:lvl w:ilvl="5" w:tentative="0">
      <w:start w:val="1"/>
      <w:numFmt w:val="decimal"/>
      <w:lvlText w:val="%6."/>
      <w:lvlJc w:val="left"/>
      <w:pPr>
        <w:tabs>
          <w:tab w:val="left" w:pos="3960"/>
        </w:tabs>
        <w:ind w:left="3960" w:hanging="360"/>
      </w:pPr>
    </w:lvl>
    <w:lvl w:ilvl="6" w:tentative="0">
      <w:start w:val="1"/>
      <w:numFmt w:val="decimal"/>
      <w:lvlText w:val="%7."/>
      <w:lvlJc w:val="left"/>
      <w:pPr>
        <w:tabs>
          <w:tab w:val="left" w:pos="4680"/>
        </w:tabs>
        <w:ind w:left="4680" w:hanging="360"/>
      </w:pPr>
    </w:lvl>
    <w:lvl w:ilvl="7" w:tentative="0">
      <w:start w:val="1"/>
      <w:numFmt w:val="decimal"/>
      <w:lvlText w:val="%8."/>
      <w:lvlJc w:val="left"/>
      <w:pPr>
        <w:tabs>
          <w:tab w:val="left" w:pos="5400"/>
        </w:tabs>
        <w:ind w:left="5400" w:hanging="360"/>
      </w:pPr>
    </w:lvl>
    <w:lvl w:ilvl="8" w:tentative="0">
      <w:start w:val="1"/>
      <w:numFmt w:val="decimal"/>
      <w:lvlText w:val="%9."/>
      <w:lvlJc w:val="left"/>
      <w:pPr>
        <w:tabs>
          <w:tab w:val="left" w:pos="6120"/>
        </w:tabs>
        <w:ind w:left="6120" w:hanging="360"/>
      </w:pPr>
    </w:lvl>
  </w:abstractNum>
  <w:abstractNum w:abstractNumId="1">
    <w:nsid w:val="5ADDF57A"/>
    <w:multiLevelType w:val="singleLevel"/>
    <w:tmpl w:val="5ADDF57A"/>
    <w:lvl w:ilvl="0" w:tentative="0">
      <w:start w:val="1"/>
      <w:numFmt w:val="decimal"/>
      <w:suff w:val="space"/>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TAxNjJkYWM4YjU5NDc4MWRkNzYxZGM2YjNlZWUzZGEifQ=="/>
  </w:docVars>
  <w:rsids>
    <w:rsidRoot w:val="00BF4365"/>
    <w:rsid w:val="000933A5"/>
    <w:rsid w:val="002874FF"/>
    <w:rsid w:val="002A6F0C"/>
    <w:rsid w:val="00367C4A"/>
    <w:rsid w:val="00460B10"/>
    <w:rsid w:val="0051139F"/>
    <w:rsid w:val="009303F7"/>
    <w:rsid w:val="00A06CD5"/>
    <w:rsid w:val="00A15327"/>
    <w:rsid w:val="00BF4365"/>
    <w:rsid w:val="00EE1557"/>
    <w:rsid w:val="1CEF25FC"/>
    <w:rsid w:val="391953AC"/>
    <w:rsid w:val="47CA1F7C"/>
    <w:rsid w:val="693E541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qFormat="1"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8"/>
      <w:lang w:val="en-US" w:eastAsia="zh-CN" w:bidi="ar-SA"/>
    </w:rPr>
  </w:style>
  <w:style w:type="character" w:default="1" w:styleId="6">
    <w:name w:val="Default Paragraph Font"/>
    <w:semiHidden/>
    <w:unhideWhenUsed/>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2">
    <w:name w:val="Body Text"/>
    <w:basedOn w:val="1"/>
    <w:next w:val="1"/>
    <w:unhideWhenUsed/>
    <w:qFormat/>
    <w:uiPriority w:val="99"/>
    <w:pPr>
      <w:spacing w:after="120"/>
    </w:pPr>
  </w:style>
  <w:style w:type="paragraph" w:styleId="3">
    <w:name w:val="footer"/>
    <w:basedOn w:val="1"/>
    <w:qFormat/>
    <w:uiPriority w:val="0"/>
    <w:pPr>
      <w:tabs>
        <w:tab w:val="center" w:pos="4153"/>
        <w:tab w:val="right" w:pos="8306"/>
      </w:tabs>
      <w:snapToGrid w:val="0"/>
      <w:jc w:val="left"/>
    </w:pPr>
    <w:rPr>
      <w:sz w:val="18"/>
      <w:szCs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customStyle="1" w:styleId="7">
    <w:name w:val="Default"/>
    <w:basedOn w:val="1"/>
    <w:qFormat/>
    <w:uiPriority w:val="0"/>
    <w:pPr>
      <w:autoSpaceDE w:val="0"/>
      <w:autoSpaceDN w:val="0"/>
      <w:adjustRightInd w:val="0"/>
      <w:jc w:val="left"/>
    </w:pPr>
    <w:rPr>
      <w:rFonts w:ascii="方正仿宋_GBK" w:hAnsi="方正仿宋_GBK"/>
    </w:rPr>
  </w:style>
  <w:style w:type="character" w:customStyle="1" w:styleId="8">
    <w:name w:val="title1"/>
    <w:qFormat/>
    <w:uiPriority w:val="0"/>
    <w:rPr>
      <w:b/>
      <w:bCs/>
      <w:color w:val="999900"/>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2393</Words>
  <Characters>3766</Characters>
  <Lines>88</Lines>
  <Paragraphs>38</Paragraphs>
  <TotalTime>46</TotalTime>
  <ScaleCrop>false</ScaleCrop>
  <LinksUpToDate>false</LinksUpToDate>
  <CharactersWithSpaces>4019</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2026-02-05T01:21:00Z</dcterms:created>
  <dc:creator>Lenovo</dc:creator>
  <cp:lastModifiedBy>借山而居</cp:lastModifiedBy>
  <dcterms:modified xsi:type="dcterms:W3CDTF">2026-02-12T14:01:06Z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3C236FC344F547F38F69CD8409AE1E0C_13</vt:lpwstr>
  </property>
  <property fmtid="{D5CDD505-2E9C-101B-9397-08002B2CF9AE}" pid="4" name="KSOTemplateDocerSaveRecord">
    <vt:lpwstr>eyJoZGlkIjoiYTA3ZjU5OTVkMGY4ODQxN2NmMmRhOTYwYjcxYmRkNDEiLCJ1c2VySWQiOiI1NDYxNjEyMzAifQ==</vt:lpwstr>
  </property>
</Properties>
</file>